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C343A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456A84" w:rsidRPr="00DC343A" w:rsidRDefault="003B112D" w:rsidP="003B1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456A84" w:rsidRPr="00DC3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</w:t>
      </w:r>
      <w:r w:rsidR="00456A84" w:rsidRPr="00DC343A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DC343A">
        <w:rPr>
          <w:rFonts w:ascii="Times New Roman" w:hAnsi="Times New Roman" w:cs="Times New Roman"/>
          <w:sz w:val="28"/>
          <w:szCs w:val="28"/>
        </w:rPr>
        <w:t>ого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DC343A">
        <w:rPr>
          <w:rFonts w:ascii="Times New Roman" w:hAnsi="Times New Roman" w:cs="Times New Roman"/>
          <w:sz w:val="28"/>
          <w:szCs w:val="28"/>
        </w:rPr>
        <w:t>я</w:t>
      </w:r>
      <w:r w:rsidR="00456A84" w:rsidRPr="00DC343A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DC34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56A84" w:rsidRPr="00DC343A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3CA" w:rsidRPr="00DC343A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811AA4">
        <w:rPr>
          <w:rFonts w:ascii="Times New Roman" w:hAnsi="Times New Roman" w:cs="Times New Roman"/>
          <w:sz w:val="28"/>
          <w:szCs w:val="28"/>
        </w:rPr>
        <w:t xml:space="preserve">за </w:t>
      </w:r>
      <w:r w:rsidR="00C522F0">
        <w:rPr>
          <w:rFonts w:ascii="Times New Roman" w:hAnsi="Times New Roman" w:cs="Times New Roman"/>
          <w:sz w:val="28"/>
          <w:szCs w:val="28"/>
        </w:rPr>
        <w:t>202</w:t>
      </w:r>
      <w:r w:rsidR="004A0C32">
        <w:rPr>
          <w:rFonts w:ascii="Times New Roman" w:hAnsi="Times New Roman" w:cs="Times New Roman"/>
          <w:sz w:val="28"/>
          <w:szCs w:val="28"/>
        </w:rPr>
        <w:t>2</w:t>
      </w:r>
      <w:r w:rsidR="00C522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0B98" w:rsidRPr="00DC343A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C343A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органом, осуществляющим </w:t>
      </w:r>
      <w:r w:rsidR="00943075" w:rsidRPr="00DC343A">
        <w:rPr>
          <w:rFonts w:ascii="Times New Roman" w:hAnsi="Times New Roman" w:cs="Times New Roman"/>
          <w:sz w:val="28"/>
          <w:szCs w:val="28"/>
        </w:rPr>
        <w:t>го</w:t>
      </w:r>
      <w:r w:rsidR="00383CC3">
        <w:rPr>
          <w:rFonts w:ascii="Times New Roman" w:hAnsi="Times New Roman" w:cs="Times New Roman"/>
          <w:sz w:val="28"/>
          <w:szCs w:val="28"/>
        </w:rPr>
        <w:t xml:space="preserve">сударственный контроль (надзор) </w:t>
      </w:r>
      <w:r w:rsidR="00943075" w:rsidRPr="00DC343A">
        <w:rPr>
          <w:rFonts w:ascii="Times New Roman" w:hAnsi="Times New Roman" w:cs="Times New Roman"/>
          <w:sz w:val="28"/>
          <w:szCs w:val="28"/>
        </w:rPr>
        <w:t>в област</w:t>
      </w:r>
      <w:r w:rsidR="007E36B5" w:rsidRPr="00DC343A">
        <w:rPr>
          <w:rFonts w:ascii="Times New Roman" w:hAnsi="Times New Roman" w:cs="Times New Roman"/>
          <w:sz w:val="28"/>
          <w:szCs w:val="28"/>
        </w:rPr>
        <w:t xml:space="preserve">и розничной продажи алкогольной </w:t>
      </w:r>
      <w:r w:rsidR="00383CC3">
        <w:rPr>
          <w:rFonts w:ascii="Times New Roman" w:hAnsi="Times New Roman" w:cs="Times New Roman"/>
          <w:sz w:val="28"/>
          <w:szCs w:val="28"/>
        </w:rPr>
        <w:br/>
      </w:r>
      <w:r w:rsidR="00943075" w:rsidRPr="00DC343A">
        <w:rPr>
          <w:rFonts w:ascii="Times New Roman" w:hAnsi="Times New Roman" w:cs="Times New Roman"/>
          <w:sz w:val="28"/>
          <w:szCs w:val="28"/>
        </w:rPr>
        <w:t>и спиртосодержащей продукции</w:t>
      </w:r>
      <w:r w:rsidR="0038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B7C6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23.50 Кодекса об административных право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Российской Федерации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="00E855ED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органов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рассмотрение дел об административных правонарушениях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рознично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продажи алкогольной продукции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законодательством.</w:t>
      </w:r>
    </w:p>
    <w:p w:rsidR="00404AEF" w:rsidRPr="00BB4465" w:rsidRDefault="004A0C32" w:rsidP="00BB4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</w:t>
      </w:r>
      <w:r w:rsidR="002753FB">
        <w:rPr>
          <w:rFonts w:ascii="Times New Roman" w:hAnsi="Times New Roman" w:cs="Times New Roman"/>
          <w:sz w:val="28"/>
          <w:szCs w:val="28"/>
        </w:rPr>
        <w:t>у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3A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2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CC7C66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  <w:r w:rsidR="009B580D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BF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Департаментом </w:t>
      </w:r>
      <w:r w:rsidR="009B580D" w:rsidRPr="00432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судебными органами</w:t>
      </w:r>
      <w:r w:rsidR="00BB4465" w:rsidRPr="0043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80D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4465" w:rsidRPr="004A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AEF" w:rsidRPr="00DC343A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594BC9" w:rsidRPr="00DC343A" w:rsidRDefault="00F700BC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 алкогольной и спиртосодержащей продукции без сопроводительных документов, удостоверяющих легальность их производства </w:t>
      </w:r>
      <w:r w:rsidR="007E36B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оборота (ч. 2 ст. 14.16 КоАП РФ)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915D69" w:rsidP="001A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сопроводительных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определен ст. 10.2 Федеральног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22.11.1995 № 171-ФЗ </w:t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 w:rsidR="00594BC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7C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ограничении потребления (распития) алкогольной продукции».</w:t>
      </w:r>
    </w:p>
    <w:p w:rsidR="00D73327" w:rsidRPr="00DC343A" w:rsidRDefault="002B7C6B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D69" w:rsidRPr="00DC343A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собые требования 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розничной продаже алкогольной продукции определены ст. 16 Федеральног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22.11.1995 № 171-ФЗ.</w:t>
      </w:r>
    </w:p>
    <w:p w:rsidR="00D73327" w:rsidRDefault="000249C9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установленного порядка учета объема оборота алкогольной </w:t>
      </w:r>
      <w:r w:rsidR="0026217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61710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фиксация</w:t>
      </w:r>
      <w:r w:rsidR="007B115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ЕГАИС 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D6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14.19 КоАП РФ)</w:t>
      </w:r>
      <w:r w:rsidR="00D7332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A6" w:rsidRPr="00CE6CA6" w:rsidRDefault="000249C9" w:rsidP="00CE6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CA6"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Искажение информации и (или) нарушение порядка и сроков при декларировании оборота алкогольной продукции (ст. 15.13 КоАП РФ).</w:t>
      </w:r>
    </w:p>
    <w:p w:rsidR="005F4F2A" w:rsidRDefault="00CE6CA6" w:rsidP="005F4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 сдаче деклараций установлено ст. 14 Федерального закона </w:t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22.11.1995 № 171-ФЗ (организации обязаны осуществлять декларирование объема розничной продажи розничной продажи пива и пивных напитков, сидра, </w:t>
      </w:r>
      <w:proofErr w:type="spellStart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</w:t>
      </w:r>
      <w:r w:rsidR="009F1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</w:t>
      </w:r>
      <w:r w:rsidR="005F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точка доступа «Интернет»).</w:t>
      </w:r>
      <w:proofErr w:type="gramEnd"/>
    </w:p>
    <w:p w:rsidR="00837259" w:rsidRPr="00DC343A" w:rsidRDefault="00837259" w:rsidP="007D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Pr="00DC343A"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DC343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C343A">
        <w:rPr>
          <w:rFonts w:ascii="Times New Roman" w:hAnsi="Times New Roman" w:cs="Times New Roman"/>
          <w:sz w:val="28"/>
          <w:szCs w:val="28"/>
        </w:rPr>
        <w:t xml:space="preserve">, </w:t>
      </w:r>
      <w:r w:rsidRPr="00DC343A">
        <w:rPr>
          <w:rFonts w:ascii="Times New Roman" w:hAnsi="Times New Roman" w:cs="Times New Roman"/>
          <w:sz w:val="28"/>
          <w:szCs w:val="28"/>
        </w:rPr>
        <w:lastRenderedPageBreak/>
        <w:t>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</w:t>
      </w:r>
      <w:r w:rsidR="004802C1">
        <w:rPr>
          <w:rFonts w:ascii="Times New Roman" w:hAnsi="Times New Roman" w:cs="Times New Roman"/>
          <w:sz w:val="28"/>
          <w:szCs w:val="28"/>
        </w:rPr>
        <w:t xml:space="preserve">яются организациями (п. 1 ст. 16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22.11.1995 № 171-ФЗ).</w:t>
      </w:r>
      <w:proofErr w:type="gramEnd"/>
    </w:p>
    <w:p w:rsidR="00995B92" w:rsidRPr="00DC343A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3A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DC34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43A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розничной продаже алкогольной продукции.</w:t>
      </w:r>
    </w:p>
    <w:p w:rsidR="00844530" w:rsidRDefault="00995B92" w:rsidP="0061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3A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DC343A">
        <w:t xml:space="preserve"> 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DC343A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r w:rsidRPr="00DC343A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DC343A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DC343A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</w:t>
      </w:r>
      <w:r w:rsidR="00756EF3" w:rsidRPr="00DC343A">
        <w:rPr>
          <w:rFonts w:ascii="Times New Roman" w:hAnsi="Times New Roman" w:cs="Times New Roman"/>
          <w:sz w:val="28"/>
          <w:szCs w:val="28"/>
        </w:rPr>
        <w:br/>
      </w:r>
      <w:r w:rsidR="00AB273E" w:rsidRPr="00DC343A">
        <w:rPr>
          <w:rFonts w:ascii="Times New Roman" w:hAnsi="Times New Roman" w:cs="Times New Roman"/>
          <w:sz w:val="28"/>
          <w:szCs w:val="28"/>
        </w:rPr>
        <w:t>об обороте алкогольной продукции в ЕГАИС;</w:t>
      </w:r>
      <w:proofErr w:type="gramEnd"/>
      <w:r w:rsidR="00AB273E" w:rsidRPr="00DC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3A0" w:rsidRPr="00D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3A0" w:rsidRPr="00DC343A">
        <w:rPr>
          <w:rFonts w:ascii="Times New Roman" w:hAnsi="Times New Roman" w:cs="Times New Roman"/>
          <w:sz w:val="28"/>
          <w:szCs w:val="28"/>
        </w:rPr>
        <w:t xml:space="preserve"> своевременностью сдачи деклараций, их точностью.</w:t>
      </w:r>
    </w:p>
    <w:p w:rsidR="007A410E" w:rsidRDefault="007A410E" w:rsidP="0061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0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8700A0"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 w:rsidRPr="008700A0">
        <w:rPr>
          <w:rFonts w:ascii="Times New Roman" w:hAnsi="Times New Roman" w:cs="Times New Roman"/>
          <w:bCs/>
          <w:sz w:val="28"/>
          <w:szCs w:val="28"/>
        </w:rPr>
        <w:t xml:space="preserve"> контроля по состоянию на 31.12.2022 года проверок не проводилось, </w:t>
      </w:r>
      <w:r w:rsidRPr="008700A0">
        <w:rPr>
          <w:rFonts w:ascii="Times New Roman" w:hAnsi="Times New Roman" w:cs="Times New Roman"/>
          <w:snapToGrid w:val="0"/>
          <w:sz w:val="28"/>
          <w:szCs w:val="28"/>
        </w:rPr>
        <w:t>проведено 5 профилактических визитов, объявлено 51 предостережение о недопустимости нарушения обязательных требований.</w:t>
      </w:r>
      <w:bookmarkStart w:id="0" w:name="_GoBack"/>
      <w:bookmarkEnd w:id="0"/>
    </w:p>
    <w:p w:rsidR="00643CEB" w:rsidRPr="00711EFA" w:rsidRDefault="00A875AA" w:rsidP="00643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0A0">
        <w:rPr>
          <w:rFonts w:ascii="Times New Roman" w:hAnsi="Times New Roman" w:cs="Times New Roman"/>
          <w:sz w:val="28"/>
          <w:szCs w:val="28"/>
        </w:rPr>
        <w:t xml:space="preserve">По состоянию на 31.12.2022 количество юридических лиц, имеющих лицензию на розничную продажу алкогольной продукции, составляет 304, действующих лицензий – 323, торговых объектов – 1 945. Продлено на 12 месяцев действие 283 лицензии, </w:t>
      </w:r>
      <w:r w:rsidRPr="008700A0">
        <w:rPr>
          <w:rFonts w:ascii="Times New Roman" w:hAnsi="Times New Roman" w:cs="Times New Roman"/>
          <w:bCs/>
          <w:sz w:val="28"/>
          <w:szCs w:val="28"/>
        </w:rPr>
        <w:t xml:space="preserve">проведено 133 </w:t>
      </w:r>
      <w:r w:rsidRPr="008700A0">
        <w:rPr>
          <w:rFonts w:ascii="Times New Roman" w:hAnsi="Times New Roman" w:cs="Times New Roman"/>
          <w:snapToGrid w:val="0"/>
          <w:sz w:val="28"/>
          <w:szCs w:val="28"/>
        </w:rPr>
        <w:t>оценки соответствия лицензионным требованиям по заявлениям организаций о предоставлении (переоформлении, продлении) лицензий.</w:t>
      </w:r>
    </w:p>
    <w:p w:rsidR="00C522F0" w:rsidRDefault="00187B05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внеплановых </w:t>
      </w:r>
      <w:r w:rsidR="00CD2765">
        <w:rPr>
          <w:rFonts w:ascii="Times New Roman" w:hAnsi="Times New Roman" w:cs="Times New Roman"/>
          <w:bCs/>
          <w:sz w:val="28"/>
          <w:szCs w:val="28"/>
        </w:rPr>
        <w:t>оценок 2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C522F0">
        <w:rPr>
          <w:rFonts w:ascii="Times New Roman" w:hAnsi="Times New Roman" w:cs="Times New Roman"/>
          <w:bCs/>
          <w:sz w:val="28"/>
          <w:szCs w:val="28"/>
        </w:rPr>
        <w:t>ям</w:t>
      </w:r>
      <w:r w:rsidRPr="003B2BC7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</w:t>
      </w:r>
      <w:r w:rsidR="00242764">
        <w:rPr>
          <w:rFonts w:ascii="Times New Roman" w:hAnsi="Times New Roman" w:cs="Times New Roman"/>
          <w:bCs/>
          <w:sz w:val="28"/>
          <w:szCs w:val="28"/>
        </w:rPr>
        <w:t xml:space="preserve"> (переоформление</w:t>
      </w:r>
      <w:r w:rsidR="001A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6BB">
        <w:rPr>
          <w:rFonts w:ascii="Times New Roman" w:hAnsi="Times New Roman" w:cs="Times New Roman"/>
          <w:bCs/>
          <w:sz w:val="28"/>
          <w:szCs w:val="28"/>
        </w:rPr>
        <w:t xml:space="preserve">и продление </w:t>
      </w:r>
      <w:r w:rsidR="001A2803">
        <w:rPr>
          <w:rFonts w:ascii="Times New Roman" w:hAnsi="Times New Roman" w:cs="Times New Roman"/>
          <w:bCs/>
          <w:sz w:val="28"/>
          <w:szCs w:val="28"/>
        </w:rPr>
        <w:t>лицензии)</w:t>
      </w:r>
      <w:r w:rsidRPr="003B2BC7">
        <w:rPr>
          <w:rFonts w:ascii="Times New Roman" w:hAnsi="Times New Roman" w:cs="Times New Roman"/>
          <w:bCs/>
          <w:sz w:val="28"/>
          <w:szCs w:val="28"/>
        </w:rPr>
        <w:t>.</w:t>
      </w:r>
      <w:r w:rsidR="003B2BC7" w:rsidRPr="003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31C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переоформлении</w:t>
      </w:r>
      <w:r w:rsidR="00837259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3E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703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3C95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лицензионным требованиям, установленным пунктом 4.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16 Федерального закона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="003B2BC7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– </w:t>
      </w:r>
      <w:r w:rsidR="001A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инвентаризационных </w:t>
      </w:r>
      <w:r w:rsidR="00132703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документов, подтверждающих наличие в объекте общественного питания, расположенном в многоквартирном доме, зала обслуживания посетителей общей 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 менее 20 квадратных метров;</w:t>
      </w:r>
    </w:p>
    <w:p w:rsidR="00C522F0" w:rsidRP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заявителя лицензионным требованиям, установленным в соответствии с положениями подпункта 1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-  розничная продажа алкогольной продукции и розничная продажа алкогольной продукции при оказании услуг общественного питания не допускаются в зданиях, строениях, сооружениях, помещениях, находящихся во владении, распоряжении и (или) пользовании образовательных организаций;</w:t>
      </w:r>
    </w:p>
    <w:p w:rsidR="00C522F0" w:rsidRDefault="00C522F0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заявителя лицензионным требованиям, установленным в соответствии с положениями подпункта 10 пункта 2 статьи 16 Федерального закона от 22.11.1995 № 171-ФЗ, а именно - 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5375" w:rsidRPr="00C522F0" w:rsidRDefault="003D5375" w:rsidP="003B2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ст. 16 Федерального закона от 22.11.1995 № 171-ФЗ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 при оказании услуг общественного питания в объектах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питания, расположенных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и (или) на прилегающих к ним территориях,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объектах общественного питания, имеющих зал обслуживания посетителей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 квадратных метров.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родукции, кондитерских изделий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покупных товаров, определяемая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инвентаризационных </w:t>
      </w:r>
      <w:r w:rsidRPr="006D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причинами, по которым организац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F700BC"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C522F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0B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B273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правосознания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пренебрежительное отношение к исполнению своих публично-правовых обязанностей; </w:t>
      </w:r>
    </w:p>
    <w:p w:rsidR="00B3090E" w:rsidRPr="00DC343A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руководител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должностных обязанностей сотрудниками.</w:t>
      </w:r>
    </w:p>
    <w:p w:rsidR="00767271" w:rsidRPr="00DC343A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ст.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446D3B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AB273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22.11.1995 № 171-ФЗ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лицензий (лицензиатам) перед обращением с заявлением в Департамент необходимо:</w:t>
      </w:r>
      <w:r w:rsidR="00767271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оборота алкогольной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спиртосодержащей продукции, осуществлять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D3C9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C343A" w:rsidRDefault="00B3090E" w:rsidP="00F85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B5E5E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декларирование».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Департамента также размещены перечень и тексты нормативных правовых актов, содержащих обязательные требования законодательства Российской Федерации в сфере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алкогольной продукции, информация о размерах и реквизиты для уплаты государственной пошлины.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лицензиатам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</w:t>
      </w:r>
      <w:r w:rsidR="00F8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нововведения в работе системы. Информационный портал «База </w:t>
      </w:r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знаний информационных систем </w:t>
      </w:r>
      <w:proofErr w:type="spellStart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» wiki.egais.ru также позволяет найти лю</w:t>
      </w:r>
      <w:r w:rsidR="00A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информацию о работе ЕГАИС;</w:t>
      </w:r>
    </w:p>
    <w:p w:rsidR="00B3090E" w:rsidRPr="00DC343A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</w:t>
      </w:r>
      <w:proofErr w:type="gram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Росалкогольрегулирования</w:t>
      </w:r>
      <w:proofErr w:type="spellEnd"/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официальном сайте Департамента;</w:t>
      </w:r>
    </w:p>
    <w:p w:rsidR="00C346F6" w:rsidRDefault="00B3090E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оборота этилового спирта, алкогольной и спиртосодержащей продукции, лицензирования, соблюдения обязательных требований. Консультирование специалистами </w:t>
      </w:r>
      <w:r w:rsidR="00215A25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FC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DC30FA" w:rsidRPr="00CD2765" w:rsidRDefault="00DC30FA" w:rsidP="00C34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765" w:rsidRPr="00CD2765">
        <w:rPr>
          <w:rFonts w:ascii="Times New Roman" w:hAnsi="Times New Roman" w:cs="Times New Roman"/>
          <w:bCs/>
          <w:sz w:val="28"/>
          <w:szCs w:val="28"/>
        </w:rPr>
        <w:t>«Об особенностях разрешительной деятельности в Российской Федерации в 2022 году»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продлено на 12 месяцев действие </w:t>
      </w:r>
      <w:r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 на розничную продажу алкогольной</w:t>
      </w:r>
      <w:r w:rsidR="00CD2765"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розничную продажу алкогольной</w:t>
      </w:r>
      <w:r w:rsidRPr="00CD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 при оказании услуг общественного питания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которых истекает (истек) в период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765"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государс</w:t>
      </w:r>
      <w:r w:rsidR="00B51F00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пошлина не оплачивается.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продлении таких лицензий не требуется, внесение соответствующих изменений на бумажном бланке лицензии не требуется. Сведения из государственного реестра выданных, приостановленных и аннулированных лицензий можно получить по ссылке </w:t>
      </w:r>
      <w:hyperlink r:id="rId7" w:history="1">
        <w:r w:rsidRPr="00DC3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http://fsrar.ru/licens/reestr</w:t>
        </w:r>
      </w:hyperlink>
      <w:r w:rsidR="00E14F7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–</w:t>
      </w:r>
      <w:r w:rsidR="00E45EE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ИНН).</w:t>
      </w:r>
    </w:p>
    <w:p w:rsidR="00780CAA" w:rsidRPr="00DC343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организации, которые уже оплатили государственную пошлину,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подали заявление о продлении соответствующей лицензии, вправе вернуть государственную пошлину (п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</w:t>
      </w:r>
      <w:r w:rsidR="00837259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Налогового кодекса Российской Федерации) или использовать ее при последующей подаче з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продлении лицензии.</w:t>
      </w:r>
    </w:p>
    <w:p w:rsidR="00780CAA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и переоформление лицензии осуществляются в прежнем порядке, </w:t>
      </w:r>
      <w:r w:rsidR="00593523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подачей соответствующего заявления и оплатой государс</w:t>
      </w:r>
      <w:r w:rsidR="00780CAA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пошлины.</w:t>
      </w:r>
    </w:p>
    <w:p w:rsidR="00234BF7" w:rsidRPr="000B4C5B" w:rsidRDefault="00234BF7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по телефонам: 30-14-1</w:t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C95877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76C" w:rsidRPr="00DC343A">
        <w:rPr>
          <w:rFonts w:ascii="Times New Roman" w:eastAsia="Times New Roman" w:hAnsi="Times New Roman" w:cs="Times New Roman"/>
          <w:sz w:val="28"/>
          <w:szCs w:val="28"/>
          <w:lang w:eastAsia="ru-RU"/>
        </w:rPr>
        <w:t>30-14-35, 30-14-16, 30-14-61, 32-40-21.</w:t>
      </w:r>
    </w:p>
    <w:sectPr w:rsidR="00234BF7" w:rsidRPr="000B4C5B" w:rsidSect="00C522F0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C1" w:rsidRDefault="001437C1" w:rsidP="009859E8">
      <w:pPr>
        <w:spacing w:after="0" w:line="240" w:lineRule="auto"/>
      </w:pPr>
      <w:r>
        <w:separator/>
      </w:r>
    </w:p>
  </w:endnote>
  <w:endnote w:type="continuationSeparator" w:id="0">
    <w:p w:rsidR="001437C1" w:rsidRDefault="001437C1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C1" w:rsidRDefault="001437C1" w:rsidP="009859E8">
      <w:pPr>
        <w:spacing w:after="0" w:line="240" w:lineRule="auto"/>
      </w:pPr>
      <w:r>
        <w:separator/>
      </w:r>
    </w:p>
  </w:footnote>
  <w:footnote w:type="continuationSeparator" w:id="0">
    <w:p w:rsidR="001437C1" w:rsidRDefault="001437C1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7A41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249C9"/>
    <w:rsid w:val="00047E59"/>
    <w:rsid w:val="00053125"/>
    <w:rsid w:val="00066DAF"/>
    <w:rsid w:val="000A395F"/>
    <w:rsid w:val="000A40BA"/>
    <w:rsid w:val="000B2114"/>
    <w:rsid w:val="000B47AE"/>
    <w:rsid w:val="000B4C5B"/>
    <w:rsid w:val="000B7328"/>
    <w:rsid w:val="000C0B82"/>
    <w:rsid w:val="000C33CA"/>
    <w:rsid w:val="000D0CE1"/>
    <w:rsid w:val="000D4219"/>
    <w:rsid w:val="0011798F"/>
    <w:rsid w:val="00126916"/>
    <w:rsid w:val="00132703"/>
    <w:rsid w:val="001437C1"/>
    <w:rsid w:val="001640B7"/>
    <w:rsid w:val="00176728"/>
    <w:rsid w:val="001837F1"/>
    <w:rsid w:val="00185D8B"/>
    <w:rsid w:val="00187B05"/>
    <w:rsid w:val="00195CC0"/>
    <w:rsid w:val="001A2803"/>
    <w:rsid w:val="001A57C3"/>
    <w:rsid w:val="001B0748"/>
    <w:rsid w:val="001B132A"/>
    <w:rsid w:val="001C582E"/>
    <w:rsid w:val="001D0246"/>
    <w:rsid w:val="001D226C"/>
    <w:rsid w:val="001F7321"/>
    <w:rsid w:val="00215A25"/>
    <w:rsid w:val="002330D7"/>
    <w:rsid w:val="00234BF7"/>
    <w:rsid w:val="00242459"/>
    <w:rsid w:val="00242764"/>
    <w:rsid w:val="00257780"/>
    <w:rsid w:val="0026217B"/>
    <w:rsid w:val="00271158"/>
    <w:rsid w:val="00274D4D"/>
    <w:rsid w:val="00274F26"/>
    <w:rsid w:val="002753FB"/>
    <w:rsid w:val="0027696B"/>
    <w:rsid w:val="002878D2"/>
    <w:rsid w:val="00294444"/>
    <w:rsid w:val="002A4656"/>
    <w:rsid w:val="002B7C6B"/>
    <w:rsid w:val="00322866"/>
    <w:rsid w:val="00322FB5"/>
    <w:rsid w:val="00326B8F"/>
    <w:rsid w:val="003278DC"/>
    <w:rsid w:val="00330B98"/>
    <w:rsid w:val="00337E2A"/>
    <w:rsid w:val="003505BB"/>
    <w:rsid w:val="00352178"/>
    <w:rsid w:val="003748AE"/>
    <w:rsid w:val="00377C79"/>
    <w:rsid w:val="00383CC3"/>
    <w:rsid w:val="003872AA"/>
    <w:rsid w:val="003B112D"/>
    <w:rsid w:val="003B2BC7"/>
    <w:rsid w:val="003C61D8"/>
    <w:rsid w:val="003D443C"/>
    <w:rsid w:val="003D5375"/>
    <w:rsid w:val="003D577E"/>
    <w:rsid w:val="00404AEF"/>
    <w:rsid w:val="00406B38"/>
    <w:rsid w:val="0042605C"/>
    <w:rsid w:val="00430D7E"/>
    <w:rsid w:val="00432957"/>
    <w:rsid w:val="00435100"/>
    <w:rsid w:val="00441FEF"/>
    <w:rsid w:val="00446D3B"/>
    <w:rsid w:val="004566FF"/>
    <w:rsid w:val="00456A84"/>
    <w:rsid w:val="004802C1"/>
    <w:rsid w:val="004A0C32"/>
    <w:rsid w:val="004A2D97"/>
    <w:rsid w:val="004A7345"/>
    <w:rsid w:val="004C2B48"/>
    <w:rsid w:val="004F397B"/>
    <w:rsid w:val="00505F41"/>
    <w:rsid w:val="00514A72"/>
    <w:rsid w:val="00562063"/>
    <w:rsid w:val="00580300"/>
    <w:rsid w:val="00593523"/>
    <w:rsid w:val="00594BC9"/>
    <w:rsid w:val="00594E66"/>
    <w:rsid w:val="005A302D"/>
    <w:rsid w:val="005B165B"/>
    <w:rsid w:val="005B458F"/>
    <w:rsid w:val="005E7D33"/>
    <w:rsid w:val="005F4F2A"/>
    <w:rsid w:val="00601DDD"/>
    <w:rsid w:val="00611E0B"/>
    <w:rsid w:val="0061209D"/>
    <w:rsid w:val="00612284"/>
    <w:rsid w:val="00617105"/>
    <w:rsid w:val="00620ED8"/>
    <w:rsid w:val="006329C8"/>
    <w:rsid w:val="00643CEB"/>
    <w:rsid w:val="0065070A"/>
    <w:rsid w:val="0066708A"/>
    <w:rsid w:val="006754C9"/>
    <w:rsid w:val="006962F5"/>
    <w:rsid w:val="006A2291"/>
    <w:rsid w:val="006A2D37"/>
    <w:rsid w:val="006A694E"/>
    <w:rsid w:val="006A700E"/>
    <w:rsid w:val="006D1276"/>
    <w:rsid w:val="006D292B"/>
    <w:rsid w:val="006D4B88"/>
    <w:rsid w:val="006D707F"/>
    <w:rsid w:val="006D7B49"/>
    <w:rsid w:val="007009BC"/>
    <w:rsid w:val="00700D00"/>
    <w:rsid w:val="00706B4E"/>
    <w:rsid w:val="00711EFA"/>
    <w:rsid w:val="007345E8"/>
    <w:rsid w:val="00743A81"/>
    <w:rsid w:val="00751F56"/>
    <w:rsid w:val="0075323C"/>
    <w:rsid w:val="00756EF3"/>
    <w:rsid w:val="0076028B"/>
    <w:rsid w:val="007630F1"/>
    <w:rsid w:val="00767271"/>
    <w:rsid w:val="00780CAA"/>
    <w:rsid w:val="00784925"/>
    <w:rsid w:val="007873C4"/>
    <w:rsid w:val="007A3BAD"/>
    <w:rsid w:val="007A410E"/>
    <w:rsid w:val="007B115A"/>
    <w:rsid w:val="007B7885"/>
    <w:rsid w:val="007C206E"/>
    <w:rsid w:val="007D230A"/>
    <w:rsid w:val="007D33F8"/>
    <w:rsid w:val="007D3AD7"/>
    <w:rsid w:val="007E36B5"/>
    <w:rsid w:val="007E72C0"/>
    <w:rsid w:val="00811AA4"/>
    <w:rsid w:val="008246BB"/>
    <w:rsid w:val="00836AF5"/>
    <w:rsid w:val="00837259"/>
    <w:rsid w:val="00840EE1"/>
    <w:rsid w:val="00844530"/>
    <w:rsid w:val="008719EC"/>
    <w:rsid w:val="00871BE2"/>
    <w:rsid w:val="00891523"/>
    <w:rsid w:val="008A7DD8"/>
    <w:rsid w:val="008B00BF"/>
    <w:rsid w:val="008B5E5E"/>
    <w:rsid w:val="008B7BD3"/>
    <w:rsid w:val="00900AEB"/>
    <w:rsid w:val="00904CAF"/>
    <w:rsid w:val="00905103"/>
    <w:rsid w:val="00915D69"/>
    <w:rsid w:val="00927AB1"/>
    <w:rsid w:val="00943075"/>
    <w:rsid w:val="009443D7"/>
    <w:rsid w:val="00944E6D"/>
    <w:rsid w:val="0098114E"/>
    <w:rsid w:val="009859E8"/>
    <w:rsid w:val="00990BC3"/>
    <w:rsid w:val="00995B92"/>
    <w:rsid w:val="009B580D"/>
    <w:rsid w:val="009C1A2F"/>
    <w:rsid w:val="009D5BA1"/>
    <w:rsid w:val="009F0028"/>
    <w:rsid w:val="009F1D87"/>
    <w:rsid w:val="009F4795"/>
    <w:rsid w:val="009F7B0E"/>
    <w:rsid w:val="00A0476C"/>
    <w:rsid w:val="00A047DD"/>
    <w:rsid w:val="00A17770"/>
    <w:rsid w:val="00A3287B"/>
    <w:rsid w:val="00A416A0"/>
    <w:rsid w:val="00A44A05"/>
    <w:rsid w:val="00A6799D"/>
    <w:rsid w:val="00A76683"/>
    <w:rsid w:val="00A82CA7"/>
    <w:rsid w:val="00A84452"/>
    <w:rsid w:val="00A875AA"/>
    <w:rsid w:val="00AA0CFE"/>
    <w:rsid w:val="00AB273E"/>
    <w:rsid w:val="00AD0A82"/>
    <w:rsid w:val="00AD458D"/>
    <w:rsid w:val="00AD6C86"/>
    <w:rsid w:val="00AD7795"/>
    <w:rsid w:val="00AF5771"/>
    <w:rsid w:val="00B07661"/>
    <w:rsid w:val="00B3090E"/>
    <w:rsid w:val="00B31E84"/>
    <w:rsid w:val="00B37F62"/>
    <w:rsid w:val="00B46990"/>
    <w:rsid w:val="00B51F00"/>
    <w:rsid w:val="00B70B52"/>
    <w:rsid w:val="00B834ED"/>
    <w:rsid w:val="00B961C7"/>
    <w:rsid w:val="00BB0F0C"/>
    <w:rsid w:val="00BB4465"/>
    <w:rsid w:val="00BC75ED"/>
    <w:rsid w:val="00C00AB0"/>
    <w:rsid w:val="00C0774F"/>
    <w:rsid w:val="00C15196"/>
    <w:rsid w:val="00C15D68"/>
    <w:rsid w:val="00C207DD"/>
    <w:rsid w:val="00C346F6"/>
    <w:rsid w:val="00C41FE4"/>
    <w:rsid w:val="00C4510D"/>
    <w:rsid w:val="00C45888"/>
    <w:rsid w:val="00C522F0"/>
    <w:rsid w:val="00C6022F"/>
    <w:rsid w:val="00C64047"/>
    <w:rsid w:val="00C707A7"/>
    <w:rsid w:val="00C744EF"/>
    <w:rsid w:val="00C91271"/>
    <w:rsid w:val="00C93CF5"/>
    <w:rsid w:val="00C952CB"/>
    <w:rsid w:val="00C95877"/>
    <w:rsid w:val="00CB634B"/>
    <w:rsid w:val="00CB7743"/>
    <w:rsid w:val="00CC3CAB"/>
    <w:rsid w:val="00CC4AEA"/>
    <w:rsid w:val="00CC7C66"/>
    <w:rsid w:val="00CD2765"/>
    <w:rsid w:val="00CE6CA6"/>
    <w:rsid w:val="00D02435"/>
    <w:rsid w:val="00D15779"/>
    <w:rsid w:val="00D2081D"/>
    <w:rsid w:val="00D30C9A"/>
    <w:rsid w:val="00D30F3F"/>
    <w:rsid w:val="00D47240"/>
    <w:rsid w:val="00D73327"/>
    <w:rsid w:val="00D9066B"/>
    <w:rsid w:val="00DC30FA"/>
    <w:rsid w:val="00DC343A"/>
    <w:rsid w:val="00DC3863"/>
    <w:rsid w:val="00DD3C95"/>
    <w:rsid w:val="00DF33A0"/>
    <w:rsid w:val="00E012F1"/>
    <w:rsid w:val="00E11AD0"/>
    <w:rsid w:val="00E14F7A"/>
    <w:rsid w:val="00E15212"/>
    <w:rsid w:val="00E20636"/>
    <w:rsid w:val="00E25FC8"/>
    <w:rsid w:val="00E352C6"/>
    <w:rsid w:val="00E45EEC"/>
    <w:rsid w:val="00E56683"/>
    <w:rsid w:val="00E664C4"/>
    <w:rsid w:val="00E855ED"/>
    <w:rsid w:val="00EA19FF"/>
    <w:rsid w:val="00EB3EBF"/>
    <w:rsid w:val="00ED7891"/>
    <w:rsid w:val="00EE1ADE"/>
    <w:rsid w:val="00EE5663"/>
    <w:rsid w:val="00EE6BD5"/>
    <w:rsid w:val="00EF31CC"/>
    <w:rsid w:val="00F0019C"/>
    <w:rsid w:val="00F14200"/>
    <w:rsid w:val="00F14567"/>
    <w:rsid w:val="00F32569"/>
    <w:rsid w:val="00F53EBF"/>
    <w:rsid w:val="00F63916"/>
    <w:rsid w:val="00F700BC"/>
    <w:rsid w:val="00F85323"/>
    <w:rsid w:val="00F93518"/>
    <w:rsid w:val="00FA54B5"/>
    <w:rsid w:val="00FC2DB6"/>
    <w:rsid w:val="00FC3E58"/>
    <w:rsid w:val="00FD37DB"/>
    <w:rsid w:val="00FE3382"/>
    <w:rsid w:val="00FF4FE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44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srar.ru/licens/rees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4</cp:revision>
  <cp:lastPrinted>2021-12-30T06:38:00Z</cp:lastPrinted>
  <dcterms:created xsi:type="dcterms:W3CDTF">2023-03-17T07:18:00Z</dcterms:created>
  <dcterms:modified xsi:type="dcterms:W3CDTF">2023-03-17T12:50:00Z</dcterms:modified>
</cp:coreProperties>
</file>