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629"/>
        <w:gridCol w:w="9578"/>
      </w:tblGrid>
      <w:tr>
        <w:tc>
          <w:tcPr>
            <w:tcW w:type="dxa" w:w="10207"/>
            <w:gridSpan w:val="2"/>
            <w:tcMar>
              <w:left w:type="dxa" w:w="0"/>
              <w:right w:type="dxa" w:w="0"/>
            </w:tcMar>
          </w:tcPr>
          <w:p w14:paraId="01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bookmarkStart w:id="1" w:name="Par416"/>
            <w:bookmarkEnd w:id="1"/>
            <w:r>
              <w:rPr>
                <w:rFonts w:ascii="Times New Roman" w:hAnsi="Times New Roman"/>
                <w:sz w:val="24"/>
              </w:rPr>
              <w:t>СВОДНЫЙ ОТЧЕТ</w:t>
            </w:r>
          </w:p>
          <w:p w14:paraId="02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проведении оценки регулирующего воздействия в отношении проекта нормативного правового акта Ивановской области</w:t>
            </w:r>
          </w:p>
          <w:p w14:paraId="03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207"/>
            <w:gridSpan w:val="2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04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Общая информация</w:t>
            </w:r>
          </w:p>
        </w:tc>
      </w:tr>
      <w:tr>
        <w:tc>
          <w:tcPr>
            <w:tcW w:type="dxa" w:w="629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0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type="dxa" w:w="9578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Разработчик проекта нормативного правового акта Ивановской области (далее - проект нормативного </w:t>
            </w:r>
            <w:r>
              <w:rPr>
                <w:rFonts w:ascii="Times New Roman" w:hAnsi="Times New Roman"/>
                <w:sz w:val="24"/>
              </w:rPr>
              <w:t>правового акта):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Департамент экономического развития и торговли Ивановской области (далее - Департамент)</w:t>
            </w:r>
          </w:p>
        </w:tc>
      </w:tr>
      <w:tr>
        <w:tc>
          <w:tcPr>
            <w:tcW w:type="dxa" w:w="629"/>
            <w:tcBorders>
              <w:left w:color="000000" w:sz="4" w:val="single"/>
            </w:tcBorders>
            <w:tcMar>
              <w:left w:type="dxa" w:w="0"/>
              <w:right w:type="dxa" w:w="0"/>
            </w:tcMar>
          </w:tcPr>
          <w:p w14:paraId="0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type="dxa" w:w="9578"/>
            <w:tcBorders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соисполнителях: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Нет</w:t>
            </w:r>
          </w:p>
        </w:tc>
      </w:tr>
      <w:tr>
        <w:tc>
          <w:tcPr>
            <w:tcW w:type="dxa" w:w="629"/>
            <w:tcBorders>
              <w:left w:color="000000" w:sz="4" w:val="single"/>
            </w:tcBorders>
            <w:tcMar>
              <w:left w:type="dxa" w:w="0"/>
              <w:right w:type="dxa" w:w="0"/>
            </w:tcMar>
          </w:tcPr>
          <w:p w14:paraId="0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type="dxa" w:w="9578"/>
            <w:tcBorders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и наименование</w:t>
            </w:r>
            <w:r>
              <w:rPr>
                <w:rFonts w:ascii="Times New Roman" w:hAnsi="Times New Roman"/>
                <w:sz w:val="24"/>
              </w:rPr>
              <w:t xml:space="preserve"> проекта нормативного правового акта: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Проект постановления Правительства Ивановской области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 внесении изменений </w:t>
            </w:r>
            <w:r>
              <w:rPr>
                <w:rFonts w:ascii="Times New Roman" w:hAnsi="Times New Roman"/>
                <w:sz w:val="24"/>
              </w:rPr>
              <w:t xml:space="preserve">в некоторые постановления </w:t>
            </w:r>
            <w:r>
              <w:rPr>
                <w:rFonts w:ascii="Times New Roman" w:hAnsi="Times New Roman"/>
                <w:sz w:val="24"/>
              </w:rPr>
              <w:t>Правительства</w:t>
            </w:r>
            <w:r>
              <w:rPr>
                <w:rFonts w:ascii="Times New Roman" w:hAnsi="Times New Roman"/>
                <w:sz w:val="24"/>
              </w:rPr>
              <w:t xml:space="preserve"> Ивановской области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629"/>
            <w:tcBorders>
              <w:left w:color="000000" w:sz="4" w:val="single"/>
            </w:tcBorders>
            <w:tcMar>
              <w:left w:type="dxa" w:w="0"/>
              <w:right w:type="dxa" w:w="0"/>
            </w:tcMar>
          </w:tcPr>
          <w:p w14:paraId="0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type="dxa" w:w="9578"/>
            <w:tcBorders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описание проблемы, на решение которой направлен предлагаемый способ регулирования: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Необходимость</w:t>
            </w:r>
            <w:r>
              <w:rPr>
                <w:rFonts w:ascii="Times New Roman" w:hAnsi="Times New Roman"/>
                <w:sz w:val="24"/>
              </w:rPr>
              <w:t xml:space="preserve"> актуализации законодательства Ивановской области в инвестиционной сфере</w:t>
            </w:r>
          </w:p>
        </w:tc>
      </w:tr>
      <w:tr>
        <w:tc>
          <w:tcPr>
            <w:tcW w:type="dxa" w:w="629"/>
            <w:tcBorders>
              <w:left w:color="000000" w:sz="4" w:val="single"/>
            </w:tcBorders>
            <w:tcMar>
              <w:left w:type="dxa" w:w="0"/>
              <w:right w:type="dxa" w:w="0"/>
            </w:tcMar>
          </w:tcPr>
          <w:p w14:paraId="1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type="dxa" w:w="9578"/>
            <w:tcBorders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Основание для разработки проекта нормативного правового акта: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</w:t>
            </w:r>
            <w:r>
              <w:rPr>
                <w:rFonts w:ascii="Times New Roman" w:hAnsi="Times New Roman"/>
                <w:sz w:val="24"/>
              </w:rPr>
              <w:t>от 29.12.2014 № 473-ФЗ «</w:t>
            </w:r>
            <w:r>
              <w:rPr>
                <w:rFonts w:ascii="Times New Roman" w:hAnsi="Times New Roman"/>
                <w:sz w:val="24"/>
              </w:rPr>
              <w:t xml:space="preserve">О территориях опережающего развития </w:t>
            </w:r>
            <w:r>
              <w:rPr>
                <w:rFonts w:ascii="Times New Roman" w:hAnsi="Times New Roman"/>
                <w:sz w:val="24"/>
              </w:rPr>
              <w:t xml:space="preserve">в Российской Федерации», </w:t>
            </w:r>
            <w:r>
              <w:rPr>
                <w:rFonts w:ascii="Times New Roman" w:hAnsi="Times New Roman"/>
                <w:sz w:val="24"/>
              </w:rPr>
              <w:t>постановления Правительства</w:t>
            </w:r>
            <w:r>
              <w:rPr>
                <w:rFonts w:ascii="Times New Roman" w:hAnsi="Times New Roman"/>
                <w:sz w:val="24"/>
              </w:rPr>
              <w:t xml:space="preserve"> Российской Федерации от 19.09.2022 </w:t>
            </w:r>
            <w:r>
              <w:rPr>
                <w:rFonts w:ascii="Times New Roman" w:hAnsi="Times New Roman"/>
                <w:sz w:val="24"/>
              </w:rPr>
              <w:t xml:space="preserve">№ 1659 «Об утверждении Правил предоставления </w:t>
            </w:r>
            <w:r>
              <w:rPr>
                <w:rFonts w:ascii="Times New Roman" w:hAnsi="Times New Roman"/>
                <w:sz w:val="24"/>
              </w:rPr>
              <w:t>и распределения субсидий из федерального бюджета бюджетам субъектов Российской Федерации на государственную поддержку проектов создания, развития и (или) модернизации объектов</w:t>
            </w:r>
            <w:r>
              <w:rPr>
                <w:rFonts w:ascii="Times New Roman" w:hAnsi="Times New Roman"/>
                <w:sz w:val="24"/>
              </w:rPr>
              <w:t xml:space="preserve"> инфраструктуры промышленных технопарков в сфере электронной промышленности», </w:t>
            </w:r>
            <w:r>
              <w:rPr>
                <w:rFonts w:ascii="Times New Roman" w:hAnsi="Times New Roman"/>
                <w:sz w:val="24"/>
              </w:rPr>
              <w:t xml:space="preserve">от 25.10.2023 </w:t>
            </w:r>
            <w:r>
              <w:rPr>
                <w:rFonts w:ascii="Times New Roman" w:hAnsi="Times New Roman"/>
                <w:sz w:val="24"/>
              </w:rPr>
              <w:t>№ 1782 «</w:t>
            </w:r>
            <w:r>
              <w:rPr>
                <w:rFonts w:ascii="Times New Roman" w:hAnsi="Times New Roman"/>
                <w:sz w:val="24"/>
              </w:rPr>
              <w:t xml:space="preserve">Об утверждении общих требований к нормативным правовым актам, муниципальным правовым актам, регулирующим предоставление </w:t>
            </w:r>
            <w:r>
              <w:rPr>
                <w:rFonts w:ascii="Times New Roman" w:hAnsi="Times New Roman"/>
                <w:sz w:val="24"/>
              </w:rPr>
              <w:t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      </w:r>
          </w:p>
        </w:tc>
      </w:tr>
      <w:tr>
        <w:trPr>
          <w:trHeight w:hRule="atLeast" w:val="257"/>
        </w:trPr>
        <w:tc>
          <w:tcPr>
            <w:tcW w:type="dxa" w:w="629"/>
            <w:tcBorders>
              <w:left w:color="000000" w:sz="4" w:val="single"/>
            </w:tcBorders>
            <w:tcMar>
              <w:left w:type="dxa" w:w="0"/>
              <w:right w:type="dxa" w:w="0"/>
            </w:tcMar>
          </w:tcPr>
          <w:p w14:paraId="1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1.6.</w:t>
            </w:r>
          </w:p>
        </w:tc>
        <w:tc>
          <w:tcPr>
            <w:tcW w:type="dxa" w:w="9578"/>
            <w:tcBorders>
              <w:right w:color="000000" w:sz="4" w:val="single"/>
            </w:tcBorders>
            <w:tcMar>
              <w:left w:type="dxa" w:w="0"/>
              <w:right w:type="dxa" w:w="0"/>
            </w:tcMar>
          </w:tcPr>
          <w:p w14:paraId="1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описание целей предлагаемого правового регулирования: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  <w:u w:val="none"/>
                <w:shd w:fill="FFE779" w:val="clear"/>
              </w:rPr>
            </w:pPr>
            <w:r>
              <w:rPr>
                <w:rFonts w:ascii="Times New Roman" w:hAnsi="Times New Roman"/>
                <w:sz w:val="24"/>
              </w:rPr>
              <w:t>Актуализация законодательства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инвестиционной сфере</w:t>
            </w:r>
          </w:p>
        </w:tc>
      </w:tr>
      <w:tr>
        <w:tc>
          <w:tcPr>
            <w:tcW w:type="dxa" w:w="629"/>
            <w:tcBorders>
              <w:left w:color="000000" w:sz="4" w:val="single"/>
            </w:tcBorders>
            <w:tcMar>
              <w:left w:type="dxa" w:w="0"/>
              <w:right w:type="dxa" w:w="0"/>
            </w:tcMar>
          </w:tcPr>
          <w:p w14:paraId="1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1.7.</w:t>
            </w:r>
          </w:p>
        </w:tc>
        <w:tc>
          <w:tcPr>
            <w:tcW w:type="dxa" w:w="9578"/>
            <w:tcBorders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описание предлагаемого способа правового регулирования:</w:t>
            </w:r>
          </w:p>
        </w:tc>
      </w:tr>
      <w:tr>
        <w:trPr>
          <w:trHeight w:hRule="atLeast" w:val="518"/>
        </w:trP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Внесение соответствующих изменений в </w:t>
            </w:r>
            <w:r>
              <w:rPr>
                <w:rFonts w:ascii="Times New Roman" w:hAnsi="Times New Roman"/>
                <w:sz w:val="24"/>
              </w:rPr>
              <w:t>постановления Правительства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от 19.05.2016 № 137</w:t>
            </w:r>
            <w:r>
              <w:rPr>
                <w:rFonts w:ascii="Times New Roman" w:hAnsi="Times New Roman"/>
                <w:sz w:val="24"/>
              </w:rPr>
              <w:t xml:space="preserve">-п,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т 13.04.2018 № 103-п, </w:t>
            </w:r>
            <w:r>
              <w:rPr>
                <w:rFonts w:ascii="Times New Roman" w:hAnsi="Times New Roman"/>
                <w:sz w:val="24"/>
              </w:rPr>
              <w:t xml:space="preserve">от 16.03.2023 № 132-п, </w:t>
            </w:r>
            <w:r>
              <w:rPr>
                <w:rFonts w:ascii="Times New Roman" w:hAnsi="Times New Roman"/>
                <w:sz w:val="24"/>
              </w:rPr>
              <w:t>от 25.09.2025 № 375-п</w:t>
            </w:r>
          </w:p>
        </w:tc>
      </w:tr>
      <w:tr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1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1.8.</w:t>
            </w:r>
          </w:p>
        </w:tc>
        <w:tc>
          <w:tcPr>
            <w:tcW w:type="dxa" w:w="9578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Контактная информация исполнителя разработчика:</w:t>
            </w:r>
          </w:p>
        </w:tc>
      </w:tr>
      <w:t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имя, отчество (при наличии)): Алешин Андрей Александрович</w:t>
            </w:r>
          </w:p>
        </w:tc>
      </w:tr>
      <w:t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Должность: главный консультант управления промышленности и инвестиций</w:t>
            </w:r>
          </w:p>
        </w:tc>
      </w:tr>
      <w:t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Телефон: 32-83-47</w:t>
            </w:r>
          </w:p>
        </w:tc>
      </w:tr>
      <w:tr>
        <w:trPr>
          <w:trHeight w:hRule="atLeast" w:val="200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электронной почты: aleshin_aa@ivreg.ru</w:t>
            </w:r>
          </w:p>
        </w:tc>
      </w:tr>
    </w:tbl>
    <w:p w14:paraId="20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5238"/>
        <w:gridCol w:w="4198"/>
      </w:tblGrid>
      <w:tr>
        <w:tc>
          <w:tcPr>
            <w:tcW w:type="dxa" w:w="10207"/>
            <w:gridSpan w:val="3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21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Степень регулирующего воздействия проекта </w:t>
            </w:r>
            <w:r>
              <w:rPr>
                <w:rFonts w:ascii="Times New Roman" w:hAnsi="Times New Roman"/>
                <w:sz w:val="24"/>
              </w:rPr>
              <w:t>нормативного правового акта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2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type="dxa" w:w="5238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регулирующего воздействия проекта нормативного правового акта:</w:t>
            </w:r>
          </w:p>
        </w:tc>
        <w:tc>
          <w:tcPr>
            <w:tcW w:type="dxa" w:w="4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Низкая</w:t>
            </w:r>
          </w:p>
        </w:tc>
      </w:tr>
      <w:tr>
        <w:tc>
          <w:tcPr>
            <w:tcW w:type="dxa" w:w="771"/>
            <w:tcBorders>
              <w:left w:color="000000" w:sz="4" w:val="single"/>
            </w:tcBorders>
            <w:tcMar>
              <w:left w:type="dxa" w:w="0"/>
              <w:right w:type="dxa" w:w="0"/>
            </w:tcMar>
          </w:tcPr>
          <w:p w14:paraId="2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type="dxa" w:w="9436"/>
            <w:gridSpan w:val="2"/>
            <w:tcBorders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Обоснование отнесения проекта нормативного правового акта к определенной степени регулирующего воздействия:</w:t>
            </w:r>
          </w:p>
        </w:tc>
      </w:tr>
      <w:tr>
        <w:trPr>
          <w:trHeight w:hRule="atLeast" w:val="592"/>
        </w:trPr>
        <w:tc>
          <w:tcPr>
            <w:tcW w:type="dxa" w:w="10207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00000">
            <w:pPr>
              <w:pStyle w:val="Style_3"/>
              <w:ind w:firstLine="709" w:left="0"/>
              <w:jc w:val="both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 xml:space="preserve">Проект нормативного правового акта разработан </w:t>
            </w:r>
            <w:r>
              <w:rPr>
                <w:rFonts w:ascii="Times New Roman" w:hAnsi="Times New Roman"/>
                <w:u w:val="none"/>
              </w:rPr>
              <w:t>в целях приведения отдельных формулировок нормативных правовых актов, затрагивающих вопросы осуществления предпринимательской, инвестиционной и иной экономической деятельности, в соответствие с федеральным и региональным законодательством</w:t>
            </w:r>
          </w:p>
        </w:tc>
      </w:tr>
    </w:tbl>
    <w:p w14:paraId="28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10207"/>
      </w:tblGrid>
      <w:tr>
        <w:tc>
          <w:tcPr>
            <w:tcW w:type="dxa" w:w="10207"/>
            <w:tcMar>
              <w:left w:type="dxa" w:w="0"/>
              <w:right w:type="dxa" w:w="0"/>
            </w:tcMar>
          </w:tcPr>
          <w:p w14:paraId="29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Описание проблемы, на решение которой направлен предлагаемый способ регулирования, оценк</w:t>
            </w:r>
            <w:r>
              <w:rPr>
                <w:rFonts w:ascii="Times New Roman" w:hAnsi="Times New Roman"/>
                <w:sz w:val="24"/>
              </w:rPr>
              <w:t>а негативных эффектов, возникающих в связи с наличием рассматриваемой проблемы</w:t>
            </w:r>
          </w:p>
        </w:tc>
      </w:tr>
    </w:tbl>
    <w:p w14:paraId="2A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9436"/>
      </w:tblGrid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2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</w:tc>
      </w:tr>
      <w:tr>
        <w:trPr>
          <w:trHeight w:hRule="atLeast" w:val="234"/>
        </w:trP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D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Необходимость а</w:t>
            </w:r>
            <w:r>
              <w:rPr>
                <w:rFonts w:ascii="Times New Roman" w:hAnsi="Times New Roman"/>
                <w:sz w:val="24"/>
              </w:rPr>
              <w:t>ктуализации законодательства Ивановской области в инвестиционной сфере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2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Негативные эффекты, возникающие в связи с наличием проблемы: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Негативное влияние на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социально-экономическое и инвестиционное развитие Ивановской области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3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возникновении, выявлении проблемы</w:t>
            </w:r>
            <w:r>
              <w:rPr>
                <w:rFonts w:ascii="Times New Roman" w:hAnsi="Times New Roman"/>
                <w:sz w:val="24"/>
              </w:rPr>
              <w:t>, принятых мерах, направленных на ее решение, а также затраченных ресурсах и достигнутых результатах решения проблемы: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Разработан проект постановления Правительства Ивановской области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 внесении изменений </w:t>
            </w:r>
            <w:r>
              <w:rPr>
                <w:rFonts w:ascii="Times New Roman" w:hAnsi="Times New Roman"/>
                <w:sz w:val="24"/>
              </w:rPr>
              <w:t xml:space="preserve">в некоторые постановления </w:t>
            </w:r>
            <w:r>
              <w:rPr>
                <w:rFonts w:ascii="Times New Roman" w:hAnsi="Times New Roman"/>
                <w:sz w:val="24"/>
              </w:rPr>
              <w:t>Правительства</w:t>
            </w:r>
            <w:r>
              <w:rPr>
                <w:rFonts w:ascii="Times New Roman" w:hAnsi="Times New Roman"/>
                <w:sz w:val="24"/>
              </w:rPr>
              <w:t xml:space="preserve"> Ивановской области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rPr>
          <w:trHeight w:hRule="atLeast" w:val="511"/>
        </w:trP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3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условий, при которых проблема может быть решена в целом без вме</w:t>
            </w:r>
            <w:r>
              <w:rPr>
                <w:rFonts w:ascii="Times New Roman" w:hAnsi="Times New Roman"/>
                <w:sz w:val="24"/>
              </w:rPr>
              <w:t>шательства со стороны государства: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Решение проблемы без соответствующего нормативного правового регулирования </w:t>
            </w:r>
            <w:r>
              <w:rPr>
                <w:rFonts w:ascii="Times New Roman" w:hAnsi="Times New Roman"/>
                <w:sz w:val="24"/>
              </w:rPr>
              <w:t>не представляется возможным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3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данных: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экономического развития и торговли Ивановской области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3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3.6.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Иная информация о </w:t>
            </w:r>
            <w:r>
              <w:rPr>
                <w:rFonts w:ascii="Times New Roman" w:hAnsi="Times New Roman"/>
                <w:sz w:val="24"/>
              </w:rPr>
              <w:t>проблеме: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</w:t>
            </w:r>
          </w:p>
        </w:tc>
      </w:tr>
    </w:tbl>
    <w:p w14:paraId="3D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9436"/>
      </w:tblGrid>
      <w:tr>
        <w:tc>
          <w:tcPr>
            <w:tcW w:type="dxa" w:w="10207"/>
            <w:gridSpan w:val="2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3E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Анализ опыта иных субъектов Российской Федерации в соответствующих сферах деятельности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3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 иных субъектов Российской Федерации в соответствующих сферах деятельности: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Аналогичные подходы практикуются в ряде субъектов ЦФО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4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данных: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</w:t>
            </w:r>
          </w:p>
        </w:tc>
      </w:tr>
    </w:tbl>
    <w:p w14:paraId="45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3764"/>
        <w:gridCol w:w="5672"/>
      </w:tblGrid>
      <w:tr>
        <w:tc>
          <w:tcPr>
            <w:tcW w:type="dxa" w:w="10207"/>
            <w:gridSpan w:val="3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46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Цели предлагаемого регулирования и их соответствие принципам правового регулирования</w:t>
            </w:r>
          </w:p>
        </w:tc>
      </w:tr>
      <w:tr>
        <w:tc>
          <w:tcPr>
            <w:tcW w:type="dxa" w:w="45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5.1. </w:t>
            </w:r>
            <w:r>
              <w:rPr>
                <w:rFonts w:ascii="Times New Roman" w:hAnsi="Times New Roman"/>
                <w:sz w:val="24"/>
              </w:rPr>
              <w:t>Цели предлагаемого регулирования:</w:t>
            </w:r>
          </w:p>
        </w:tc>
        <w:tc>
          <w:tcPr>
            <w:tcW w:type="dxa" w:w="5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 Установленные сроки достижения целей предлагаемого регулирования:</w:t>
            </w:r>
          </w:p>
        </w:tc>
      </w:tr>
      <w:tr>
        <w:tc>
          <w:tcPr>
            <w:tcW w:type="dxa" w:w="45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законодательства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инвестиционной сфере</w:t>
            </w:r>
          </w:p>
        </w:tc>
        <w:tc>
          <w:tcPr>
            <w:tcW w:type="dxa" w:w="5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 квартал 2026 года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4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5.3.</w:t>
            </w:r>
          </w:p>
        </w:tc>
        <w:tc>
          <w:tcPr>
            <w:tcW w:type="dxa" w:w="9436"/>
            <w:gridSpan w:val="2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Обоснование соответс</w:t>
            </w:r>
            <w:r>
              <w:rPr>
                <w:rFonts w:ascii="Times New Roman" w:hAnsi="Times New Roman"/>
                <w:sz w:val="24"/>
              </w:rPr>
              <w:t>твия целей предлагаемого регулирования принципам правового регулирования:</w:t>
            </w:r>
          </w:p>
        </w:tc>
      </w:tr>
      <w:tr>
        <w:tc>
          <w:tcPr>
            <w:tcW w:type="dxa" w:w="10207"/>
            <w:gridSpan w:val="3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 предлагаемого правового регулирования соответствуют основным целям, закрепленным законодательством Российской Федерации и законодательством Ивановской области</w:t>
            </w:r>
          </w:p>
        </w:tc>
      </w:tr>
      <w:tr>
        <w:tc>
          <w:tcPr>
            <w:tcW w:type="dxa" w:w="771"/>
            <w:tcBorders>
              <w:left w:color="000000" w:sz="4" w:val="single"/>
            </w:tcBorders>
            <w:tcMar>
              <w:left w:type="dxa" w:w="0"/>
              <w:right w:type="dxa" w:w="0"/>
            </w:tcMar>
          </w:tcPr>
          <w:p w14:paraId="4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5.4.</w:t>
            </w:r>
          </w:p>
        </w:tc>
        <w:tc>
          <w:tcPr>
            <w:tcW w:type="dxa" w:w="9436"/>
            <w:gridSpan w:val="2"/>
            <w:tcBorders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Иная </w:t>
            </w:r>
            <w:r>
              <w:rPr>
                <w:rFonts w:ascii="Times New Roman" w:hAnsi="Times New Roman"/>
                <w:sz w:val="24"/>
              </w:rPr>
              <w:t>информация о целях предлагаемого регулирования:</w:t>
            </w:r>
          </w:p>
        </w:tc>
      </w:tr>
      <w:tr>
        <w:tc>
          <w:tcPr>
            <w:tcW w:type="dxa" w:w="10207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</w:t>
            </w:r>
          </w:p>
        </w:tc>
      </w:tr>
    </w:tbl>
    <w:p w14:paraId="51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9436"/>
      </w:tblGrid>
      <w:tr>
        <w:tc>
          <w:tcPr>
            <w:tcW w:type="dxa" w:w="10207"/>
            <w:gridSpan w:val="2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52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Описание предлагаемого регулирования и иных возможных (альтернативных) способов решения проблемы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5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Описание предлагаемого способа </w:t>
            </w:r>
            <w:r>
              <w:rPr>
                <w:rFonts w:ascii="Times New Roman" w:hAnsi="Times New Roman"/>
                <w:sz w:val="24"/>
              </w:rPr>
              <w:t>решения проблемы и преодоления связанных с ней негативных эффектов: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п</w:t>
            </w:r>
            <w:r>
              <w:rPr>
                <w:rFonts w:ascii="Times New Roman" w:hAnsi="Times New Roman"/>
                <w:sz w:val="24"/>
              </w:rPr>
              <w:t>роекта постановления Правительства Ивановской области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 внесении изменений </w:t>
            </w:r>
            <w:r>
              <w:rPr>
                <w:rFonts w:ascii="Times New Roman" w:hAnsi="Times New Roman"/>
                <w:sz w:val="24"/>
              </w:rPr>
              <w:t xml:space="preserve">в некоторые постановления </w:t>
            </w:r>
            <w:r>
              <w:rPr>
                <w:rFonts w:ascii="Times New Roman" w:hAnsi="Times New Roman"/>
                <w:sz w:val="24"/>
              </w:rPr>
              <w:t>Правительства</w:t>
            </w:r>
            <w:r>
              <w:rPr>
                <w:rFonts w:ascii="Times New Roman" w:hAnsi="Times New Roman"/>
                <w:sz w:val="24"/>
              </w:rPr>
              <w:t xml:space="preserve"> Ивановской области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5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Описание иных способов решения проблемы (с указанием того, каким образом каждым </w:t>
            </w:r>
            <w:r>
              <w:rPr>
                <w:rFonts w:ascii="Times New Roman" w:hAnsi="Times New Roman"/>
                <w:sz w:val="24"/>
              </w:rPr>
              <w:t>из способов могла бы быть решена проблема):</w:t>
            </w:r>
          </w:p>
        </w:tc>
      </w:tr>
      <w:tr>
        <w:trPr>
          <w:trHeight w:hRule="atLeast" w:val="489"/>
        </w:trP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Решение про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блемы возможно только путем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внесения соответствующих изменений в </w:t>
            </w:r>
            <w:r>
              <w:rPr>
                <w:rFonts w:ascii="Times New Roman" w:hAnsi="Times New Roman"/>
                <w:sz w:val="24"/>
              </w:rPr>
              <w:t xml:space="preserve">постановления Правительства Ивановской области </w:t>
            </w:r>
            <w:r>
              <w:rPr>
                <w:rFonts w:ascii="Times New Roman" w:hAnsi="Times New Roman"/>
                <w:sz w:val="24"/>
              </w:rPr>
              <w:t>от 19.05.2016 № 137</w:t>
            </w:r>
            <w:r>
              <w:rPr>
                <w:rFonts w:ascii="Times New Roman" w:hAnsi="Times New Roman"/>
                <w:sz w:val="24"/>
              </w:rPr>
              <w:t xml:space="preserve">-п,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т 13.04.2018 № 103-п, </w:t>
            </w:r>
            <w:r>
              <w:rPr>
                <w:rFonts w:ascii="Times New Roman" w:hAnsi="Times New Roman"/>
                <w:sz w:val="24"/>
              </w:rPr>
              <w:t xml:space="preserve">от 16.03.2023 № 132-п, </w:t>
            </w:r>
            <w:r>
              <w:rPr>
                <w:rFonts w:ascii="Times New Roman" w:hAnsi="Times New Roman"/>
                <w:sz w:val="24"/>
              </w:rPr>
              <w:t>от 25.09.2025 № 375-п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5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Обоснование выбора предлагаемого способа решения проблемы: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Предлагаемый способ решения проблемы базируется на действующем законодательстве Российской Федерации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5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6.4.</w:t>
            </w:r>
          </w:p>
        </w:tc>
        <w:tc>
          <w:tcPr>
            <w:tcW w:type="dxa" w:w="9436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Иная информация о </w:t>
            </w:r>
            <w:r>
              <w:rPr>
                <w:rFonts w:ascii="Times New Roman" w:hAnsi="Times New Roman"/>
                <w:sz w:val="24"/>
              </w:rPr>
              <w:t>предлагаемом способе решения проблемы:</w:t>
            </w:r>
          </w:p>
        </w:tc>
      </w:tr>
      <w:tr>
        <w:tc>
          <w:tcPr>
            <w:tcW w:type="dxa" w:w="1020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E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</w:t>
            </w:r>
          </w:p>
        </w:tc>
      </w:tr>
    </w:tbl>
    <w:p w14:paraId="5F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3763"/>
        <w:gridCol w:w="773"/>
        <w:gridCol w:w="4900"/>
      </w:tblGrid>
      <w:tr>
        <w:tc>
          <w:tcPr>
            <w:tcW w:type="dxa" w:w="10207"/>
            <w:gridSpan w:val="4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60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Основные группы субъектов предпринимательской и иной экономической деятельности, органы государственной власти Ивановской области и органы </w:t>
            </w:r>
            <w:r>
              <w:rPr>
                <w:rFonts w:ascii="Times New Roman" w:hAnsi="Times New Roman"/>
                <w:sz w:val="24"/>
              </w:rPr>
              <w:t>местного самоуправления муниципальных образований Ивановской области, интересы которых могут быть затронуты предлагаемым правовым регулированием, оценка количества таких субъектов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6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7.1.</w:t>
            </w:r>
          </w:p>
        </w:tc>
        <w:tc>
          <w:tcPr>
            <w:tcW w:type="dxa" w:w="3763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участников отношений: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6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7.2.</w:t>
            </w:r>
          </w:p>
        </w:tc>
        <w:tc>
          <w:tcPr>
            <w:tcW w:type="dxa" w:w="4900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количества участников отношен</w:t>
            </w:r>
            <w:r>
              <w:rPr>
                <w:rFonts w:ascii="Times New Roman" w:hAnsi="Times New Roman"/>
                <w:sz w:val="24"/>
              </w:rPr>
              <w:t>ий:</w:t>
            </w:r>
          </w:p>
        </w:tc>
      </w:tr>
      <w:tr>
        <w:tc>
          <w:tcPr>
            <w:tcW w:type="dxa" w:w="4534"/>
            <w:gridSpan w:val="2"/>
            <w:tcBorders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5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Субъекты (юридические лица и индивидуальные предприниматели) </w:t>
            </w:r>
            <w:r>
              <w:rPr>
                <w:rFonts w:ascii="Times New Roman" w:hAnsi="Times New Roman"/>
                <w:sz w:val="24"/>
                <w:u w:val="none"/>
              </w:rPr>
              <w:t>предпринимательской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  <w:u w:val="none"/>
              </w:rPr>
              <w:t>осуществляющие инвестиционную деятельность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на территории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Ивановской области</w:t>
            </w:r>
          </w:p>
        </w:tc>
        <w:tc>
          <w:tcPr>
            <w:tcW w:type="dxa" w:w="5673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Более 3</w:t>
            </w:r>
          </w:p>
        </w:tc>
      </w:tr>
      <w:tr>
        <w:trPr>
          <w:trHeight w:hRule="atLeast" w:val="234"/>
        </w:trP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6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7.3.</w:t>
            </w:r>
          </w:p>
        </w:tc>
        <w:tc>
          <w:tcPr>
            <w:tcW w:type="dxa" w:w="9436"/>
            <w:gridSpan w:val="3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данных:</w:t>
            </w:r>
          </w:p>
        </w:tc>
      </w:tr>
      <w:tr>
        <w:trPr>
          <w:trHeight w:hRule="atLeast" w:val="234"/>
        </w:trPr>
        <w:tc>
          <w:tcPr>
            <w:tcW w:type="dxa" w:w="10207"/>
            <w:gridSpan w:val="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9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реестр субъектов малого и среднего предпринимательства</w:t>
            </w:r>
          </w:p>
        </w:tc>
      </w:tr>
    </w:tbl>
    <w:p w14:paraId="6A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2289"/>
        <w:gridCol w:w="830"/>
        <w:gridCol w:w="2173"/>
        <w:gridCol w:w="803"/>
        <w:gridCol w:w="3341"/>
      </w:tblGrid>
      <w:tr>
        <w:tc>
          <w:tcPr>
            <w:tcW w:type="dxa" w:w="10207"/>
            <w:gridSpan w:val="6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6B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8. Новые функции, </w:t>
            </w:r>
            <w:r>
              <w:rPr>
                <w:rFonts w:ascii="Times New Roman" w:hAnsi="Times New Roman"/>
                <w:sz w:val="24"/>
              </w:rPr>
              <w:t xml:space="preserve">полномочия, </w:t>
            </w:r>
            <w:r>
              <w:rPr>
                <w:rFonts w:ascii="Times New Roman" w:hAnsi="Times New Roman"/>
                <w:sz w:val="24"/>
              </w:rPr>
              <w:t>обязанности</w:t>
            </w:r>
            <w:r>
              <w:rPr>
                <w:rFonts w:ascii="Times New Roman" w:hAnsi="Times New Roman"/>
                <w:sz w:val="24"/>
              </w:rPr>
              <w:t xml:space="preserve"> и права органов государственной власти Ивановской области и органов местного самоуправления муниципальных образований Ивановской области или сведения об их изменении, а также порядок их реализации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6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8.1.</w:t>
            </w:r>
          </w:p>
        </w:tc>
        <w:tc>
          <w:tcPr>
            <w:tcW w:type="dxa" w:w="2289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Описание новых или изменения </w:t>
            </w:r>
            <w:r>
              <w:rPr>
                <w:rFonts w:ascii="Times New Roman" w:hAnsi="Times New Roman"/>
                <w:sz w:val="24"/>
              </w:rPr>
              <w:t>существующих функций, полномочий, обязанностей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6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8.2.</w:t>
            </w:r>
          </w:p>
        </w:tc>
        <w:tc>
          <w:tcPr>
            <w:tcW w:type="dxa" w:w="217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реализации</w:t>
            </w:r>
          </w:p>
        </w:tc>
        <w:tc>
          <w:tcPr>
            <w:tcW w:type="dxa" w:w="8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70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8.3.</w:t>
            </w:r>
          </w:p>
        </w:tc>
        <w:tc>
          <w:tcPr>
            <w:tcW w:type="dxa" w:w="334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изменения трудозатрат и (или) потребностей в иных ресурсах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7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89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изменяются</w:t>
            </w:r>
          </w:p>
        </w:tc>
        <w:tc>
          <w:tcPr>
            <w:tcW w:type="dxa" w:w="83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7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изменяется</w:t>
            </w:r>
          </w:p>
          <w:p w14:paraId="7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7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7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4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изменяется</w:t>
            </w:r>
          </w:p>
        </w:tc>
      </w:tr>
    </w:tbl>
    <w:p w14:paraId="7A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1949"/>
        <w:gridCol w:w="744"/>
        <w:gridCol w:w="3165"/>
        <w:gridCol w:w="566"/>
        <w:gridCol w:w="3012"/>
      </w:tblGrid>
      <w:tr>
        <w:tc>
          <w:tcPr>
            <w:tcW w:type="dxa" w:w="10207"/>
            <w:gridSpan w:val="6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7B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Оценка соответствующих расходов (возможных поступлений) бюджета Ивановской области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7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9.1.</w:t>
            </w:r>
          </w:p>
        </w:tc>
        <w:tc>
          <w:tcPr>
            <w:tcW w:type="dxa" w:w="1949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новой или изменяемой фун</w:t>
            </w:r>
            <w:r>
              <w:rPr>
                <w:rFonts w:ascii="Times New Roman" w:hAnsi="Times New Roman"/>
                <w:sz w:val="24"/>
              </w:rPr>
              <w:t xml:space="preserve">кции, полномочия, </w:t>
            </w:r>
            <w:r>
              <w:rPr>
                <w:rFonts w:ascii="Times New Roman" w:hAnsi="Times New Roman"/>
                <w:sz w:val="24"/>
              </w:rPr>
              <w:t>обязанности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7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9.2.</w:t>
            </w:r>
          </w:p>
        </w:tc>
        <w:tc>
          <w:tcPr>
            <w:tcW w:type="dxa" w:w="3165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видов расходов (возможных поступлений) бюджета Ивановской области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80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9.3.</w:t>
            </w:r>
          </w:p>
        </w:tc>
        <w:tc>
          <w:tcPr>
            <w:tcW w:type="dxa" w:w="301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Количественная оценка расходов (возможных поступлений)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8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49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type="dxa" w:w="74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8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65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Единовременные расходы не предполагаются</w:t>
            </w:r>
          </w:p>
          <w:p w14:paraId="8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Периодические расходы не предполагаются</w:t>
            </w:r>
          </w:p>
          <w:p w14:paraId="8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Возможные доходы не предполагаются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8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1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00000">
            <w:r>
              <w:rPr>
                <w:rFonts w:ascii="Times New Roman" w:hAnsi="Times New Roman"/>
                <w:sz w:val="24"/>
              </w:rPr>
              <w:t>Не предполагаются</w:t>
            </w:r>
          </w:p>
        </w:tc>
      </w:tr>
    </w:tbl>
    <w:p w14:paraId="8A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2268"/>
        <w:gridCol w:w="709"/>
        <w:gridCol w:w="2315"/>
        <w:gridCol w:w="850"/>
        <w:gridCol w:w="3294"/>
      </w:tblGrid>
      <w:tr>
        <w:tc>
          <w:tcPr>
            <w:tcW w:type="dxa" w:w="10207"/>
            <w:gridSpan w:val="6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8B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 </w:t>
            </w:r>
            <w:r>
              <w:rPr>
                <w:rFonts w:ascii="Times New Roman" w:hAnsi="Times New Roman"/>
                <w:sz w:val="24"/>
              </w:rPr>
              <w:t xml:space="preserve">Новые или изменяющие ранее </w:t>
            </w:r>
            <w:r>
              <w:rPr>
                <w:rFonts w:ascii="Times New Roman" w:hAnsi="Times New Roman"/>
                <w:sz w:val="24"/>
              </w:rPr>
              <w:t>предусмотренные нормативным правовым актом обязательные требования для субъектов предпринимательской и иной экономической деятельности, обязанности и запреты для субъектов предпринимательской и инвестиционной деятельности, а также устанавливающие или измен</w:t>
            </w:r>
            <w:r>
              <w:rPr>
                <w:rFonts w:ascii="Times New Roman" w:hAnsi="Times New Roman"/>
                <w:sz w:val="24"/>
              </w:rPr>
              <w:t>яющие ранее установленную ответственность за нарушение нормативных правовых актов запреты и ограничения для субъектов предпринимательской и иной экономической деятельности, а также порядок организации их исполнения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8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10.1.</w:t>
            </w:r>
          </w:p>
        </w:tc>
        <w:tc>
          <w:tcPr>
            <w:tcW w:type="dxa" w:w="2268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участников отношений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8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10.2.</w:t>
            </w:r>
          </w:p>
        </w:tc>
        <w:tc>
          <w:tcPr>
            <w:tcW w:type="dxa" w:w="2315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Описание новых или изменения ранее предусмотренных </w:t>
            </w:r>
            <w:r>
              <w:rPr>
                <w:rFonts w:ascii="Times New Roman" w:hAnsi="Times New Roman"/>
                <w:sz w:val="24"/>
              </w:rPr>
              <w:t>существующих обязательных требований, обязанностей, ответственности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90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10.3.</w:t>
            </w:r>
          </w:p>
        </w:tc>
        <w:tc>
          <w:tcPr>
            <w:tcW w:type="dxa" w:w="3294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организации исполнения обязательных требований, обязанностей и </w:t>
            </w:r>
            <w:r>
              <w:rPr>
                <w:rFonts w:ascii="Times New Roman" w:hAnsi="Times New Roman"/>
                <w:sz w:val="24"/>
              </w:rPr>
              <w:t>ответственности</w:t>
            </w:r>
          </w:p>
        </w:tc>
      </w:tr>
      <w:tr>
        <w:tc>
          <w:tcPr>
            <w:tcW w:type="dxa" w:w="303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302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Отсутствуют</w:t>
            </w:r>
          </w:p>
        </w:tc>
        <w:tc>
          <w:tcPr>
            <w:tcW w:type="dxa" w:w="41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00000">
            <w:pPr>
              <w:ind/>
              <w:jc w:val="center"/>
            </w:pPr>
            <w:r>
              <w:t>-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10.4.</w:t>
            </w:r>
          </w:p>
        </w:tc>
        <w:tc>
          <w:tcPr>
            <w:tcW w:type="dxa" w:w="943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данных: __________________________________________________</w:t>
            </w:r>
          </w:p>
        </w:tc>
      </w:tr>
    </w:tbl>
    <w:p w14:paraId="97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2289"/>
        <w:gridCol w:w="688"/>
        <w:gridCol w:w="2307"/>
        <w:gridCol w:w="663"/>
        <w:gridCol w:w="3482"/>
      </w:tblGrid>
      <w:tr>
        <w:tc>
          <w:tcPr>
            <w:tcW w:type="dxa" w:w="10200"/>
            <w:gridSpan w:val="6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98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обязательных требований, </w:t>
            </w:r>
            <w:r>
              <w:rPr>
                <w:rFonts w:ascii="Times New Roman" w:hAnsi="Times New Roman"/>
                <w:sz w:val="24"/>
              </w:rPr>
              <w:t>обязанностей либо изменением содержания таких обязательных требований, обязанностей, а также связанных с введением или изменением ответственности</w:t>
            </w:r>
          </w:p>
          <w:p w14:paraId="99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9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11.1.</w:t>
            </w:r>
          </w:p>
        </w:tc>
        <w:tc>
          <w:tcPr>
            <w:tcW w:type="dxa" w:w="2289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участников отношений</w:t>
            </w:r>
          </w:p>
        </w:tc>
        <w:tc>
          <w:tcPr>
            <w:tcW w:type="dxa" w:w="68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9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11.2.</w:t>
            </w:r>
          </w:p>
        </w:tc>
        <w:tc>
          <w:tcPr>
            <w:tcW w:type="dxa" w:w="2307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Описание новых или изменения ранее предусмотренных существующих </w:t>
            </w:r>
            <w:r>
              <w:rPr>
                <w:rFonts w:ascii="Times New Roman" w:hAnsi="Times New Roman"/>
                <w:sz w:val="24"/>
              </w:rPr>
              <w:t>обязательных требований, обязанностей, ответственности</w:t>
            </w:r>
          </w:p>
        </w:tc>
        <w:tc>
          <w:tcPr>
            <w:tcW w:type="dxa" w:w="66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9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11.3.</w:t>
            </w:r>
          </w:p>
        </w:tc>
        <w:tc>
          <w:tcPr>
            <w:tcW w:type="dxa" w:w="348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и оценка видов расходов (доходов)</w:t>
            </w:r>
          </w:p>
        </w:tc>
      </w:tr>
      <w:tr>
        <w:trPr>
          <w:trHeight w:hRule="atLeast" w:val="226"/>
        </w:trPr>
        <w:tc>
          <w:tcPr>
            <w:tcW w:type="dxa" w:w="3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</w:t>
            </w:r>
          </w:p>
        </w:tc>
        <w:tc>
          <w:tcPr>
            <w:tcW w:type="dxa" w:w="29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00000">
            <w:pPr>
              <w:pStyle w:val="Style_2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Отсутствуют</w:t>
            </w:r>
          </w:p>
        </w:tc>
        <w:tc>
          <w:tcPr>
            <w:tcW w:type="dxa" w:w="41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Расходы отсутствуют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A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11.4.</w:t>
            </w:r>
          </w:p>
        </w:tc>
        <w:tc>
          <w:tcPr>
            <w:tcW w:type="dxa" w:w="9429"/>
            <w:gridSpan w:val="5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данных: _________________________________________________</w:t>
            </w:r>
          </w:p>
        </w:tc>
      </w:tr>
    </w:tbl>
    <w:p w14:paraId="A5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3763"/>
        <w:gridCol w:w="773"/>
        <w:gridCol w:w="4900"/>
      </w:tblGrid>
      <w:tr>
        <w:tc>
          <w:tcPr>
            <w:tcW w:type="dxa" w:w="10207"/>
            <w:gridSpan w:val="4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A6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Риски решения проблемы предложенным способом правового регулирования и риски негативных последствий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A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12.1.</w:t>
            </w:r>
          </w:p>
        </w:tc>
        <w:tc>
          <w:tcPr>
            <w:tcW w:type="dxa" w:w="376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Риски решения проблемы </w:t>
            </w:r>
            <w:r>
              <w:rPr>
                <w:rFonts w:ascii="Times New Roman" w:hAnsi="Times New Roman"/>
                <w:sz w:val="24"/>
              </w:rPr>
              <w:t>предложенным способом и риски негативных последствий:</w:t>
            </w:r>
          </w:p>
        </w:tc>
        <w:tc>
          <w:tcPr>
            <w:tcW w:type="dxa" w:w="77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A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12.2.</w:t>
            </w:r>
          </w:p>
        </w:tc>
        <w:tc>
          <w:tcPr>
            <w:tcW w:type="dxa" w:w="490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Оценки вероятности наступления рисков:</w:t>
            </w:r>
          </w:p>
        </w:tc>
      </w:tr>
      <w:tr>
        <w:tc>
          <w:tcPr>
            <w:tcW w:type="dxa" w:w="45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Риски не выявлены </w:t>
            </w:r>
          </w:p>
        </w:tc>
        <w:tc>
          <w:tcPr>
            <w:tcW w:type="dxa" w:w="56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Отсутствуют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A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12.3.</w:t>
            </w:r>
          </w:p>
        </w:tc>
        <w:tc>
          <w:tcPr>
            <w:tcW w:type="dxa" w:w="9436"/>
            <w:gridSpan w:val="3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данных:</w:t>
            </w:r>
          </w:p>
        </w:tc>
      </w:tr>
      <w:tr>
        <w:tc>
          <w:tcPr>
            <w:tcW w:type="dxa" w:w="10207"/>
            <w:gridSpan w:val="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___________________________________________________________________</w:t>
            </w:r>
          </w:p>
        </w:tc>
      </w:tr>
    </w:tbl>
    <w:p w14:paraId="B0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629"/>
        <w:gridCol w:w="844"/>
        <w:gridCol w:w="1700"/>
        <w:gridCol w:w="850"/>
        <w:gridCol w:w="2097"/>
        <w:gridCol w:w="850"/>
        <w:gridCol w:w="3237"/>
      </w:tblGrid>
      <w:tr>
        <w:tc>
          <w:tcPr>
            <w:tcW w:type="dxa" w:w="10207"/>
            <w:gridSpan w:val="7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B1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13. Описание </w:t>
            </w:r>
            <w:r>
              <w:rPr>
                <w:rFonts w:ascii="Times New Roman" w:hAnsi="Times New Roman"/>
                <w:sz w:val="24"/>
              </w:rPr>
              <w:t>методов контроля эффективности избранного способа достижения целей регулирования</w:t>
            </w:r>
          </w:p>
        </w:tc>
      </w:tr>
      <w:tr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B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13.1.</w:t>
            </w:r>
          </w:p>
        </w:tc>
        <w:tc>
          <w:tcPr>
            <w:tcW w:type="dxa" w:w="2544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Риски решения </w:t>
            </w:r>
            <w:r>
              <w:rPr>
                <w:rFonts w:ascii="Times New Roman" w:hAnsi="Times New Roman"/>
                <w:sz w:val="24"/>
              </w:rPr>
              <w:t>проблемы предложенным способом и риски негативных последствий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B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13.2.</w:t>
            </w:r>
          </w:p>
        </w:tc>
        <w:tc>
          <w:tcPr>
            <w:tcW w:type="dxa" w:w="2097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Методы </w:t>
            </w:r>
            <w:r>
              <w:rPr>
                <w:rFonts w:ascii="Times New Roman" w:hAnsi="Times New Roman"/>
                <w:sz w:val="24"/>
              </w:rPr>
              <w:t xml:space="preserve">контроля </w:t>
            </w:r>
            <w:r>
              <w:rPr>
                <w:rFonts w:ascii="Times New Roman" w:hAnsi="Times New Roman"/>
                <w:sz w:val="24"/>
              </w:rPr>
              <w:t>эффективности избранного способа достижения целей регулирования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B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13.3.</w:t>
            </w:r>
          </w:p>
        </w:tc>
        <w:tc>
          <w:tcPr>
            <w:tcW w:type="dxa" w:w="3237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контроля рисков</w:t>
            </w:r>
          </w:p>
        </w:tc>
      </w:tr>
      <w:tr>
        <w:tc>
          <w:tcPr>
            <w:tcW w:type="dxa" w:w="3173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8000000">
            <w:r>
              <w:rPr>
                <w:rFonts w:ascii="Times New Roman" w:hAnsi="Times New Roman"/>
                <w:sz w:val="24"/>
              </w:rPr>
              <w:t>Риски не выявлены</w:t>
            </w:r>
          </w:p>
        </w:tc>
        <w:tc>
          <w:tcPr>
            <w:tcW w:type="dxa" w:w="29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Отсутствуют</w:t>
            </w:r>
          </w:p>
        </w:tc>
        <w:tc>
          <w:tcPr>
            <w:tcW w:type="dxa" w:w="408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Отсутствуют</w:t>
            </w:r>
          </w:p>
        </w:tc>
      </w:tr>
      <w:tr>
        <w:tc>
          <w:tcPr>
            <w:tcW w:type="dxa" w:w="1473"/>
            <w:gridSpan w:val="2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B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13.4.</w:t>
            </w:r>
          </w:p>
        </w:tc>
        <w:tc>
          <w:tcPr>
            <w:tcW w:type="dxa" w:w="8734"/>
            <w:gridSpan w:val="5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данных:</w:t>
            </w:r>
          </w:p>
        </w:tc>
      </w:tr>
      <w:tr>
        <w:tc>
          <w:tcPr>
            <w:tcW w:type="dxa" w:w="10207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</w:t>
            </w:r>
          </w:p>
        </w:tc>
      </w:tr>
    </w:tbl>
    <w:p w14:paraId="BE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952"/>
        <w:gridCol w:w="1191"/>
        <w:gridCol w:w="3478"/>
        <w:gridCol w:w="1519"/>
        <w:gridCol w:w="1483"/>
        <w:gridCol w:w="1584"/>
      </w:tblGrid>
      <w:tr>
        <w:tc>
          <w:tcPr>
            <w:tcW w:type="dxa" w:w="10207"/>
            <w:gridSpan w:val="6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BF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</w:tc>
      </w:tr>
      <w:tr>
        <w:tc>
          <w:tcPr>
            <w:tcW w:type="dxa" w:w="21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14.1. Мероприятия, необходимые для достижения </w:t>
            </w:r>
            <w:r>
              <w:rPr>
                <w:rFonts w:ascii="Times New Roman" w:hAnsi="Times New Roman"/>
                <w:sz w:val="24"/>
              </w:rPr>
              <w:t>целей регулирования</w:t>
            </w:r>
          </w:p>
        </w:tc>
        <w:tc>
          <w:tcPr>
            <w:tcW w:type="dxa" w:w="3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14.2. Сроки мероприятий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14.3. Описание ожидаемого результата</w:t>
            </w:r>
          </w:p>
        </w:tc>
        <w:tc>
          <w:tcPr>
            <w:tcW w:type="dxa" w:w="1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14.4. Объем финансирования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14.5. Источники финансирования</w:t>
            </w:r>
          </w:p>
        </w:tc>
      </w:tr>
      <w:tr>
        <w:tc>
          <w:tcPr>
            <w:tcW w:type="dxa" w:w="21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00000">
            <w:pPr>
              <w:pStyle w:val="Style_2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и последующее</w:t>
            </w:r>
            <w:r>
              <w:rPr>
                <w:rFonts w:ascii="Times New Roman" w:hAnsi="Times New Roman"/>
                <w:sz w:val="24"/>
              </w:rPr>
              <w:t xml:space="preserve"> о</w:t>
            </w:r>
            <w:r>
              <w:rPr>
                <w:rFonts w:ascii="Times New Roman" w:hAnsi="Times New Roman"/>
                <w:sz w:val="24"/>
              </w:rPr>
              <w:t xml:space="preserve">публикование </w:t>
            </w:r>
            <w:r>
              <w:rPr>
                <w:rFonts w:ascii="Times New Roman" w:hAnsi="Times New Roman"/>
                <w:sz w:val="24"/>
                <w:u w:val="none"/>
              </w:rPr>
              <w:t>постановления Правительства Ивановской облас</w:t>
            </w:r>
            <w:r>
              <w:rPr>
                <w:rFonts w:ascii="Times New Roman" w:hAnsi="Times New Roman"/>
                <w:sz w:val="24"/>
                <w:u w:val="none"/>
              </w:rPr>
              <w:t>ти «</w:t>
            </w:r>
            <w:r>
              <w:rPr>
                <w:rFonts w:ascii="Times New Roman" w:hAnsi="Times New Roman"/>
                <w:b w:val="0"/>
                <w:sz w:val="24"/>
              </w:rPr>
              <w:t>О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внесении изменений </w:t>
            </w:r>
            <w:r>
              <w:rPr>
                <w:rFonts w:ascii="Times New Roman" w:hAnsi="Times New Roman"/>
                <w:b w:val="0"/>
                <w:sz w:val="24"/>
              </w:rPr>
              <w:t xml:space="preserve">в некоторые постановления </w:t>
            </w:r>
            <w:r>
              <w:rPr>
                <w:rFonts w:ascii="Times New Roman" w:hAnsi="Times New Roman"/>
                <w:b w:val="0"/>
                <w:sz w:val="24"/>
              </w:rPr>
              <w:t>Правительства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Ивановской области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34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Определены </w:t>
            </w:r>
            <w:r>
              <w:rPr>
                <w:rFonts w:ascii="Times New Roman" w:hAnsi="Times New Roman"/>
                <w:sz w:val="24"/>
              </w:rPr>
              <w:t xml:space="preserve">Законом Ивановской области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 xml:space="preserve">от 23.11.1994 </w:t>
            </w:r>
            <w:r>
              <w:rPr>
                <w:rFonts w:ascii="Times New Roman" w:hAnsi="Times New Roman"/>
                <w:sz w:val="24"/>
              </w:rPr>
              <w:t xml:space="preserve">№ 27-ОЗ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«О порядке обнародования (официального опубликования) правовых актов Ивановской области, иной официальной информации»</w:t>
            </w:r>
          </w:p>
        </w:tc>
        <w:tc>
          <w:tcPr>
            <w:tcW w:type="dxa" w:w="15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bookmarkStart w:id="2" w:name="_GoBack"/>
            <w:bookmarkEnd w:id="2"/>
          </w:p>
        </w:tc>
        <w:tc>
          <w:tcPr>
            <w:tcW w:type="dxa" w:w="1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C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14.6.</w:t>
            </w:r>
          </w:p>
        </w:tc>
        <w:tc>
          <w:tcPr>
            <w:tcW w:type="dxa" w:w="9255"/>
            <w:gridSpan w:val="5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Общий объем затрат на необходимые для достижения заявленных целей </w:t>
            </w:r>
            <w:r>
              <w:rPr>
                <w:rFonts w:ascii="Times New Roman" w:hAnsi="Times New Roman"/>
                <w:sz w:val="24"/>
              </w:rPr>
              <w:t>регулирования организационно-технические, методологические, информационные и иные мероприятия: ________________________________</w:t>
            </w:r>
          </w:p>
        </w:tc>
      </w:tr>
    </w:tbl>
    <w:p w14:paraId="CC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624"/>
        <w:gridCol w:w="1701"/>
        <w:gridCol w:w="604"/>
        <w:gridCol w:w="1654"/>
        <w:gridCol w:w="604"/>
        <w:gridCol w:w="1644"/>
        <w:gridCol w:w="604"/>
        <w:gridCol w:w="2772"/>
      </w:tblGrid>
      <w:tr>
        <w:tc>
          <w:tcPr>
            <w:tcW w:type="dxa" w:w="10207"/>
            <w:gridSpan w:val="8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CD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C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15.1.</w:t>
            </w:r>
          </w:p>
        </w:tc>
        <w:tc>
          <w:tcPr>
            <w:tcW w:type="dxa" w:w="1701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 предлагаемого регулирования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D0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15.2.</w:t>
            </w:r>
          </w:p>
        </w:tc>
        <w:tc>
          <w:tcPr>
            <w:tcW w:type="dxa" w:w="1654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Индикативные показатели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D2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15.3.</w:t>
            </w:r>
          </w:p>
        </w:tc>
        <w:tc>
          <w:tcPr>
            <w:tcW w:type="dxa" w:w="1644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Единицы измерения индикативных показателей</w:t>
            </w:r>
          </w:p>
        </w:tc>
        <w:tc>
          <w:tcPr>
            <w:tcW w:type="dxa" w:w="60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D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15.4.</w:t>
            </w:r>
          </w:p>
        </w:tc>
        <w:tc>
          <w:tcPr>
            <w:tcW w:type="dxa" w:w="2772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расчета индикативных показателей</w:t>
            </w:r>
          </w:p>
        </w:tc>
      </w:tr>
      <w:tr>
        <w:tc>
          <w:tcPr>
            <w:tcW w:type="dxa" w:w="232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законодательства Ивановской области в инвестиционной сфере</w:t>
            </w:r>
          </w:p>
        </w:tc>
        <w:tc>
          <w:tcPr>
            <w:tcW w:type="dxa" w:w="22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7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24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D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15.5.</w:t>
            </w:r>
          </w:p>
        </w:tc>
        <w:tc>
          <w:tcPr>
            <w:tcW w:type="dxa" w:w="9583"/>
            <w:gridSpan w:val="7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</w:tc>
      </w:tr>
      <w:tr>
        <w:tc>
          <w:tcPr>
            <w:tcW w:type="dxa" w:w="10207"/>
            <w:gridSpan w:val="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_____________________________________________________________________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DD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15.6.</w:t>
            </w:r>
          </w:p>
        </w:tc>
        <w:tc>
          <w:tcPr>
            <w:tcW w:type="dxa" w:w="9583"/>
            <w:gridSpan w:val="7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E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Оценка затрат на осуществление </w:t>
            </w:r>
            <w:r>
              <w:rPr>
                <w:rFonts w:ascii="Times New Roman" w:hAnsi="Times New Roman"/>
                <w:sz w:val="24"/>
              </w:rPr>
              <w:t xml:space="preserve">мониторинга (в </w:t>
            </w:r>
            <w:r>
              <w:rPr>
                <w:rFonts w:ascii="Times New Roman" w:hAnsi="Times New Roman"/>
                <w:sz w:val="24"/>
              </w:rPr>
              <w:t>среднем</w:t>
            </w:r>
            <w:r>
              <w:rPr>
                <w:rFonts w:ascii="Times New Roman" w:hAnsi="Times New Roman"/>
                <w:sz w:val="24"/>
              </w:rPr>
              <w:t xml:space="preserve"> в год): ____________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</w:tcBorders>
            <w:tcMar>
              <w:left w:type="dxa" w:w="0"/>
              <w:right w:type="dxa" w:w="0"/>
            </w:tcMar>
          </w:tcPr>
          <w:p w14:paraId="DF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15.7.</w:t>
            </w:r>
          </w:p>
        </w:tc>
        <w:tc>
          <w:tcPr>
            <w:tcW w:type="dxa" w:w="9583"/>
            <w:gridSpan w:val="7"/>
            <w:tcBorders>
              <w:top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источников информации для расчета показателей (индикаторов):</w:t>
            </w:r>
          </w:p>
        </w:tc>
      </w:tr>
      <w:tr>
        <w:tc>
          <w:tcPr>
            <w:tcW w:type="dxa" w:w="10207"/>
            <w:gridSpan w:val="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___________________________________________________________________</w:t>
            </w:r>
          </w:p>
        </w:tc>
      </w:tr>
    </w:tbl>
    <w:p w14:paraId="E2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771"/>
        <w:gridCol w:w="2693"/>
        <w:gridCol w:w="993"/>
        <w:gridCol w:w="708"/>
        <w:gridCol w:w="2090"/>
        <w:gridCol w:w="2952"/>
      </w:tblGrid>
      <w:tr>
        <w:tc>
          <w:tcPr>
            <w:tcW w:type="dxa" w:w="10207"/>
            <w:gridSpan w:val="6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E3000000">
            <w:pPr>
              <w:pStyle w:val="Style_2"/>
              <w:ind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 Предполагаемая дата вступления в силу проекта нормативного </w:t>
            </w:r>
            <w:r>
              <w:rPr>
                <w:rFonts w:ascii="Times New Roman" w:hAnsi="Times New Roman"/>
                <w:sz w:val="24"/>
              </w:rPr>
              <w:t>правового акта, необходимость установления переходных положений (переходного периода), а также эксперимента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E4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16.1.</w:t>
            </w:r>
          </w:p>
        </w:tc>
        <w:tc>
          <w:tcPr>
            <w:tcW w:type="dxa" w:w="9436"/>
            <w:gridSpan w:val="5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Предполагаемая дата вступления в силу проекта нормативного правового акта: III квартал 2026 года</w:t>
            </w:r>
          </w:p>
        </w:tc>
      </w:tr>
      <w:tr>
        <w:tc>
          <w:tcPr>
            <w:tcW w:type="dxa" w:w="77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E6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16.2.</w:t>
            </w:r>
          </w:p>
        </w:tc>
        <w:tc>
          <w:tcPr>
            <w:tcW w:type="dxa" w:w="2693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Необходимость установления переходных </w:t>
            </w:r>
            <w:r>
              <w:rPr>
                <w:rFonts w:ascii="Times New Roman" w:hAnsi="Times New Roman"/>
                <w:sz w:val="24"/>
              </w:rPr>
              <w:t>положений (переходного периода):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left w:type="dxa" w:w="0"/>
              <w:right w:type="dxa" w:w="0"/>
            </w:tcMar>
          </w:tcPr>
          <w:p w14:paraId="E9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16.3.</w:t>
            </w:r>
          </w:p>
        </w:tc>
        <w:tc>
          <w:tcPr>
            <w:tcW w:type="dxa" w:w="2090"/>
            <w:tcBorders>
              <w:top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(если есть необходимость):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00000">
            <w:pPr>
              <w:pStyle w:val="Style_2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EC000000">
      <w:pPr>
        <w:pStyle w:val="Style_2"/>
        <w:rPr>
          <w:rFonts w:ascii="Times New Roman" w:hAnsi="Times New Roman"/>
          <w:sz w:val="24"/>
        </w:rPr>
      </w:pPr>
    </w:p>
    <w:p w14:paraId="ED000000">
      <w:pPr>
        <w:pStyle w:val="Style_2"/>
        <w:rPr>
          <w:rFonts w:ascii="Times New Roman" w:hAnsi="Times New Roman"/>
          <w:sz w:val="24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4558"/>
        <w:gridCol w:w="2266"/>
        <w:gridCol w:w="3384"/>
      </w:tblGrid>
      <w:tr>
        <w:tc>
          <w:tcPr>
            <w:tcW w:type="dxa" w:w="455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 Правительства Ивановской области – директор Департамента </w:t>
            </w:r>
            <w:r>
              <w:rPr>
                <w:rFonts w:ascii="Times New Roman" w:hAnsi="Times New Roman"/>
              </w:rPr>
              <w:t>экономического развития и торговли Ивановской области</w:t>
            </w:r>
          </w:p>
          <w:p w14:paraId="EF00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F0000000">
            <w:pPr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Соколова Е.Н.</w:t>
            </w:r>
          </w:p>
        </w:tc>
        <w:tc>
          <w:tcPr>
            <w:tcW w:type="dxa" w:w="2266"/>
            <w:tcMar>
              <w:left w:type="dxa" w:w="0"/>
              <w:right w:type="dxa" w:w="0"/>
            </w:tcMar>
          </w:tcPr>
          <w:p w14:paraId="F1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2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3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4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5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</w:t>
            </w:r>
          </w:p>
          <w:p w14:paraId="F6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384"/>
            <w:tcMar>
              <w:left w:type="dxa" w:w="0"/>
              <w:right w:type="dxa" w:w="0"/>
            </w:tcMar>
          </w:tcPr>
          <w:p w14:paraId="F7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8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9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A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B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</w:t>
            </w:r>
          </w:p>
          <w:p w14:paraId="FC000000">
            <w:pPr>
              <w:pStyle w:val="Style_2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(Дата)</w:t>
            </w:r>
          </w:p>
        </w:tc>
      </w:tr>
    </w:tbl>
    <w:p w14:paraId="FD000000">
      <w:pPr>
        <w:pStyle w:val="Style_2"/>
        <w:rPr>
          <w:rFonts w:ascii="Times New Roman" w:hAnsi="Times New Roman"/>
          <w:sz w:val="24"/>
        </w:rPr>
      </w:pPr>
    </w:p>
    <w:p w14:paraId="FE000000">
      <w:pPr>
        <w:pStyle w:val="Style_2"/>
        <w:rPr>
          <w:rFonts w:ascii="Times New Roman" w:hAnsi="Times New Roman"/>
          <w:sz w:val="24"/>
        </w:rPr>
      </w:pPr>
    </w:p>
    <w:sectPr>
      <w:pgSz w:h="16838" w:orient="portrait" w:w="11906"/>
      <w:pgMar w:bottom="1440" w:footer="0" w:gutter="0" w:header="0" w:left="1133" w:right="566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onsPlusJurTerm"/>
    <w:link w:val="Style_8_ch"/>
    <w:pPr>
      <w:widowControl w:val="0"/>
      <w:ind/>
    </w:pPr>
    <w:rPr>
      <w:rFonts w:ascii="Tahoma" w:hAnsi="Tahoma"/>
      <w:sz w:val="26"/>
    </w:rPr>
  </w:style>
  <w:style w:styleId="Style_8_ch" w:type="character">
    <w:name w:val="ConsPlusJurTerm"/>
    <w:link w:val="Style_8"/>
    <w:rPr>
      <w:rFonts w:ascii="Tahoma" w:hAnsi="Tahoma"/>
      <w:sz w:val="26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PlusNonformat"/>
    <w:link w:val="Style_10_ch"/>
    <w:pPr>
      <w:widowControl w:val="0"/>
      <w:ind/>
    </w:pPr>
    <w:rPr>
      <w:rFonts w:ascii="Courier New" w:hAnsi="Courier New"/>
    </w:rPr>
  </w:style>
  <w:style w:styleId="Style_10_ch" w:type="character">
    <w:name w:val="ConsPlusNonformat"/>
    <w:link w:val="Style_10"/>
    <w:rPr>
      <w:rFonts w:ascii="Courier New" w:hAnsi="Courier New"/>
    </w:rPr>
  </w:style>
  <w:style w:styleId="Style_11" w:type="paragraph">
    <w:name w:val="ConsPlusTextList_0"/>
    <w:link w:val="Style_11_ch"/>
    <w:pPr>
      <w:widowControl w:val="0"/>
      <w:ind/>
    </w:pPr>
    <w:rPr>
      <w:rFonts w:ascii="Arial" w:hAnsi="Arial"/>
    </w:rPr>
  </w:style>
  <w:style w:styleId="Style_11_ch" w:type="character">
    <w:name w:val="ConsPlusTextList_0"/>
    <w:link w:val="Style_11"/>
    <w:rPr>
      <w:rFonts w:ascii="Arial" w:hAnsi="Arial"/>
    </w:rPr>
  </w:style>
  <w:style w:styleId="Style_12" w:type="paragraph">
    <w:name w:val="Обычный1"/>
    <w:link w:val="Style_12_ch"/>
    <w:rPr>
      <w:sz w:val="24"/>
    </w:rPr>
  </w:style>
  <w:style w:styleId="Style_12_ch" w:type="character">
    <w:name w:val="Обычный1"/>
    <w:link w:val="Style_12"/>
    <w:rPr>
      <w:sz w:val="2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3"/>
    <w:link w:val="Style_14_ch"/>
    <w:uiPriority w:val="39"/>
    <w:pPr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ind/>
      <w:jc w:val="both"/>
    </w:pPr>
    <w:rPr>
      <w:rFonts w:ascii="XO Thames" w:hAnsi="XO Thames"/>
    </w:rPr>
  </w:style>
  <w:style w:styleId="Style_20_ch" w:type="character">
    <w:name w:val="Header and Footer"/>
    <w:link w:val="Style_20"/>
    <w:rPr>
      <w:rFonts w:ascii="XO Thames" w:hAnsi="XO Thames"/>
    </w:rPr>
  </w:style>
  <w:style w:styleId="Style_21" w:type="paragraph">
    <w:name w:val="toc 9"/>
    <w:next w:val="Style_3"/>
    <w:link w:val="Style_21_ch"/>
    <w:uiPriority w:val="39"/>
    <w:pPr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ind/>
    </w:pPr>
    <w:rPr>
      <w:rFonts w:ascii="Arial" w:hAnsi="Arial"/>
      <w:sz w:val="16"/>
    </w:rPr>
  </w:style>
  <w:style w:styleId="Style_2_ch" w:type="character">
    <w:name w:val="ConsPlusNormal"/>
    <w:link w:val="Style_2"/>
    <w:rPr>
      <w:rFonts w:ascii="Arial" w:hAnsi="Arial"/>
      <w:sz w:val="16"/>
    </w:rPr>
  </w:style>
  <w:style w:styleId="Style_22" w:type="paragraph">
    <w:name w:val="ConsPlusTextList"/>
    <w:link w:val="Style_22_ch"/>
    <w:pPr>
      <w:widowControl w:val="0"/>
      <w:ind/>
    </w:pPr>
    <w:rPr>
      <w:rFonts w:ascii="Arial" w:hAnsi="Arial"/>
    </w:rPr>
  </w:style>
  <w:style w:styleId="Style_22_ch" w:type="character">
    <w:name w:val="ConsPlusTextList"/>
    <w:link w:val="Style_22"/>
    <w:rPr>
      <w:rFonts w:ascii="Arial" w:hAnsi="Arial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toc 8"/>
    <w:next w:val="Style_3"/>
    <w:link w:val="Style_24_ch"/>
    <w:uiPriority w:val="39"/>
    <w:pPr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ConsPlusCell"/>
    <w:link w:val="Style_25_ch"/>
    <w:pPr>
      <w:widowControl w:val="0"/>
      <w:ind/>
    </w:pPr>
    <w:rPr>
      <w:rFonts w:ascii="Courier New" w:hAnsi="Courier New"/>
    </w:rPr>
  </w:style>
  <w:style w:styleId="Style_25_ch" w:type="character">
    <w:name w:val="ConsPlusCell"/>
    <w:link w:val="Style_25"/>
    <w:rPr>
      <w:rFonts w:ascii="Courier New" w:hAnsi="Courier New"/>
    </w:rPr>
  </w:style>
  <w:style w:styleId="Style_26" w:type="paragraph">
    <w:name w:val="ConsPlusTitle"/>
    <w:link w:val="Style_26_ch"/>
    <w:pPr>
      <w:widowControl w:val="0"/>
      <w:ind/>
    </w:pPr>
    <w:rPr>
      <w:rFonts w:ascii="Arial" w:hAnsi="Arial"/>
      <w:b w:val="1"/>
      <w:sz w:val="16"/>
    </w:rPr>
  </w:style>
  <w:style w:styleId="Style_26_ch" w:type="character">
    <w:name w:val="ConsPlusTitle"/>
    <w:link w:val="Style_26"/>
    <w:rPr>
      <w:rFonts w:ascii="Arial" w:hAnsi="Arial"/>
      <w:b w:val="1"/>
      <w:sz w:val="16"/>
    </w:rPr>
  </w:style>
  <w:style w:styleId="Style_27" w:type="paragraph">
    <w:name w:val="toc 5"/>
    <w:next w:val="Style_3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ConsPlusDocList"/>
    <w:link w:val="Style_29_ch"/>
    <w:pPr>
      <w:widowControl w:val="0"/>
      <w:ind/>
    </w:pPr>
    <w:rPr>
      <w:rFonts w:ascii="Courier New" w:hAnsi="Courier New"/>
      <w:sz w:val="16"/>
    </w:rPr>
  </w:style>
  <w:style w:styleId="Style_29_ch" w:type="character">
    <w:name w:val="ConsPlusDocList"/>
    <w:link w:val="Style_29"/>
    <w:rPr>
      <w:rFonts w:ascii="Courier New" w:hAnsi="Courier New"/>
      <w:sz w:val="16"/>
    </w:rPr>
  </w:style>
  <w:style w:styleId="Style_30" w:type="paragraph">
    <w:name w:val="Title"/>
    <w:next w:val="Style_3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ConsPlusTitlePage"/>
    <w:link w:val="Style_32_ch"/>
    <w:pPr>
      <w:widowControl w:val="0"/>
      <w:ind/>
    </w:pPr>
    <w:rPr>
      <w:rFonts w:ascii="Tahoma" w:hAnsi="Tahoma"/>
      <w:sz w:val="16"/>
    </w:rPr>
  </w:style>
  <w:style w:styleId="Style_32_ch" w:type="character">
    <w:name w:val="ConsPlusTitlePage"/>
    <w:link w:val="Style_32"/>
    <w:rPr>
      <w:rFonts w:ascii="Tahoma" w:hAnsi="Tahoma"/>
      <w:sz w:val="16"/>
    </w:rPr>
  </w:style>
  <w:style w:styleId="Style_33" w:type="paragraph">
    <w:name w:val="heading 2"/>
    <w:next w:val="Style_3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Основной шрифт абзаца1"/>
    <w:link w:val="Style_34_ch"/>
  </w:style>
  <w:style w:styleId="Style_34_ch" w:type="character">
    <w:name w:val="Основной шрифт абзаца1"/>
    <w:link w:val="Style_34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2026-08-10T13:24:25Z</dcterms:modified>
</cp:coreProperties>
</file>