
<file path=[Content_Types].xml><?xml version="1.0" encoding="utf-8"?>
<Types xmlns="http://schemas.openxmlformats.org/package/2006/content-types">
  <Default ContentType="image/x-wmf" Extension="wm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3000000">
      <w:pPr>
        <w:spacing w:before="0" w:line="240" w:lineRule="auto"/>
        <w:ind/>
        <w:jc w:val="center"/>
        <w:rPr>
          <w:color w:val="000000"/>
          <w:sz w:val="28"/>
        </w:rPr>
      </w:pPr>
      <w:r>
        <w:rPr>
          <w:color w:val="000000"/>
          <w:sz w:val="28"/>
        </w:rPr>
        <w:drawing>
          <wp:inline>
            <wp:extent cx="965200" cy="762000"/>
            <wp:effectExtent b="0" l="0" r="0" t="0"/>
            <wp:docPr hidden="false" id="2" name="Picture 2"/>
            <a:graphic>
              <a:graphicData uri="http://schemas.openxmlformats.org/drawingml/2006/picture">
                <pic:pic>
                  <pic:nvPicPr>
                    <pic:cNvPr hidden="false" id="1" name="Picture 1"/>
                    <pic:cNvPicPr preferRelativeResize="true"/>
                  </pic:nvPicPr>
                  <pic:blipFill>
                    <a:blip r:embed="rId2"/>
                    <a:srcRect b="0" l="0" r="0" t="0"/>
                    <a:stretch/>
                  </pic:blipFill>
                  <pic:spPr>
                    <a:xfrm flipH="false" flipV="false" rot="0">
                      <a:ext cx="965200" cy="762000"/>
                    </a:xfrm>
                    <a:prstGeom prst="rect"/>
                  </pic:spPr>
                </pic:pic>
              </a:graphicData>
            </a:graphic>
          </wp:inline>
        </w:drawing>
      </w:r>
    </w:p>
    <w:p w14:paraId="04000000">
      <w:pPr>
        <w:spacing w:before="0" w:line="240" w:lineRule="auto"/>
        <w:ind/>
        <w:jc w:val="center"/>
        <w:rPr>
          <w:color w:val="000000"/>
          <w:sz w:val="28"/>
        </w:rPr>
      </w:pPr>
    </w:p>
    <w:p w14:paraId="05000000">
      <w:pPr>
        <w:pStyle w:val="Style_2"/>
        <w:spacing w:before="0" w:line="240" w:lineRule="auto"/>
        <w:ind/>
        <w:jc w:val="center"/>
        <w:rPr>
          <w:b w:val="1"/>
          <w:color w:val="000000"/>
          <w:spacing w:val="20"/>
          <w:sz w:val="36"/>
          <w:u w:val="single"/>
        </w:rPr>
      </w:pPr>
      <w:r>
        <w:rPr>
          <w:b w:val="1"/>
          <w:color w:val="000000"/>
          <w:spacing w:val="20"/>
          <w:sz w:val="36"/>
          <w:u w:val="single"/>
        </w:rPr>
        <w:t>ПРАВИТЕЛЬСТВО ИВАНОВСКОЙ ОБЛАСТИ</w:t>
      </w:r>
    </w:p>
    <w:p w14:paraId="06000000">
      <w:pPr>
        <w:pStyle w:val="Style_2"/>
        <w:spacing w:before="0" w:line="240" w:lineRule="auto"/>
        <w:ind/>
        <w:jc w:val="center"/>
        <w:rPr>
          <w:color w:val="000000"/>
          <w:spacing w:val="20"/>
          <w:sz w:val="28"/>
        </w:rPr>
      </w:pPr>
    </w:p>
    <w:p w14:paraId="07000000">
      <w:pPr>
        <w:pStyle w:val="Style_2"/>
        <w:spacing w:before="0" w:line="240" w:lineRule="auto"/>
        <w:ind/>
        <w:jc w:val="center"/>
        <w:rPr>
          <w:b w:val="1"/>
          <w:color w:val="000000"/>
          <w:spacing w:val="34"/>
          <w:sz w:val="36"/>
        </w:rPr>
      </w:pPr>
      <w:r>
        <w:rPr>
          <w:b w:val="1"/>
          <w:color w:val="000000"/>
          <w:spacing w:val="34"/>
          <w:sz w:val="36"/>
        </w:rPr>
        <w:t>ПОСТАНОВЛЕНИЕ</w:t>
      </w:r>
    </w:p>
    <w:p w14:paraId="08000000">
      <w:pPr>
        <w:pStyle w:val="Style_2"/>
        <w:spacing w:before="0" w:line="240" w:lineRule="auto"/>
        <w:ind/>
        <w:jc w:val="center"/>
        <w:rPr>
          <w:color w:val="000000"/>
          <w:spacing w:val="34"/>
          <w:sz w:val="28"/>
        </w:rPr>
      </w:pPr>
    </w:p>
    <w:p w14:paraId="09000000">
      <w:pPr>
        <w:pStyle w:val="Style_2"/>
        <w:spacing w:before="0" w:line="240" w:lineRule="auto"/>
        <w:ind/>
        <w:jc w:val="center"/>
        <w:rPr>
          <w:color w:val="000000"/>
          <w:spacing w:val="34"/>
          <w:sz w:val="28"/>
        </w:rPr>
      </w:pPr>
    </w:p>
    <w:tbl>
      <w:tblPr>
        <w:tblStyle w:val="Style_3"/>
        <w:tblLayout w:type="fixed"/>
      </w:tblPr>
      <w:tblGrid>
        <w:gridCol w:w="8929"/>
      </w:tblGrid>
      <w:tr>
        <w:trPr>
          <w:trHeight w:hRule="atLeast" w:val="605"/>
        </w:trPr>
        <w:tc>
          <w:tcPr>
            <w:tcW w:type="dxa" w:w="8929"/>
          </w:tcPr>
          <w:p w14:paraId="0A000000">
            <w:pPr>
              <w:spacing w:before="0" w:line="240" w:lineRule="auto"/>
              <w:ind/>
              <w:jc w:val="center"/>
              <w:rPr>
                <w:color w:val="000000"/>
                <w:sz w:val="28"/>
              </w:rPr>
            </w:pPr>
            <w:r>
              <w:rPr>
                <w:color w:val="000000"/>
                <w:sz w:val="28"/>
              </w:rPr>
              <w:t>от _______________ № _______-п</w:t>
            </w:r>
          </w:p>
          <w:p w14:paraId="0B000000">
            <w:pPr>
              <w:spacing w:before="0" w:line="240" w:lineRule="auto"/>
              <w:ind/>
              <w:jc w:val="center"/>
              <w:rPr>
                <w:color w:val="000000"/>
                <w:sz w:val="28"/>
              </w:rPr>
            </w:pPr>
            <w:r>
              <w:rPr>
                <w:color w:val="000000"/>
                <w:sz w:val="28"/>
              </w:rPr>
              <w:t>г. Иваново</w:t>
            </w:r>
          </w:p>
        </w:tc>
      </w:tr>
    </w:tbl>
    <w:p w14:paraId="0C000000">
      <w:pPr>
        <w:spacing w:before="0" w:line="240" w:lineRule="auto"/>
        <w:ind/>
        <w:jc w:val="center"/>
        <w:rPr>
          <w:color w:val="000000"/>
          <w:sz w:val="28"/>
        </w:rPr>
      </w:pPr>
    </w:p>
    <w:tbl>
      <w:tblPr>
        <w:tblStyle w:val="Style_3"/>
        <w:tblLayout w:type="fixed"/>
      </w:tblPr>
      <w:tblGrid>
        <w:gridCol w:w="8929"/>
      </w:tblGrid>
      <w:tr>
        <w:tc>
          <w:tcPr>
            <w:tcW w:type="dxa" w:w="8929"/>
          </w:tcPr>
          <w:p w14:paraId="0D000000">
            <w:pPr>
              <w:spacing w:before="0" w:line="240" w:lineRule="auto"/>
              <w:ind/>
              <w:jc w:val="center"/>
              <w:rPr>
                <w:b w:val="1"/>
                <w:color w:val="000000"/>
                <w:sz w:val="28"/>
              </w:rPr>
            </w:pPr>
            <w:r>
              <w:rPr>
                <w:b w:val="1"/>
                <w:color w:val="000000"/>
                <w:sz w:val="28"/>
              </w:rPr>
              <w:t>О внесении изменений в постановления Правительства Ивановской</w:t>
            </w:r>
            <w:r>
              <w:rPr>
                <w:b w:val="1"/>
                <w:color w:val="000000"/>
                <w:sz w:val="28"/>
              </w:rPr>
              <w:t xml:space="preserve"> области </w:t>
            </w:r>
            <w:r>
              <w:rPr>
                <w:b w:val="1"/>
                <w:color w:val="000000"/>
                <w:sz w:val="28"/>
              </w:rPr>
              <w:t xml:space="preserve">от 11.11.2021 № 547-п «Об утверждении перечня законов и иных нормативных правовых актов Ивановской области, применяемых с учетом особенностей, установленных статьей 9 Федерального закона от 01.04.2020 № 69-ФЗ «О защите </w:t>
            </w:r>
            <w:r>
              <w:rPr>
                <w:color w:val="000000"/>
              </w:rPr>
              <w:br/>
            </w:r>
            <w:r>
              <w:rPr>
                <w:b w:val="1"/>
                <w:color w:val="000000"/>
                <w:sz w:val="28"/>
              </w:rPr>
              <w:t>и поощрении капиталовложений в Российской Федерации»</w:t>
            </w:r>
            <w:r>
              <w:rPr>
                <w:b w:val="1"/>
                <w:color w:val="000000"/>
                <w:sz w:val="28"/>
              </w:rPr>
              <w:t xml:space="preserve"> </w:t>
            </w:r>
            <w:r>
              <w:rPr>
                <w:color w:val="000000"/>
              </w:rPr>
              <w:br/>
            </w:r>
            <w:r>
              <w:rPr>
                <w:b w:val="1"/>
                <w:color w:val="000000"/>
                <w:sz w:val="28"/>
              </w:rPr>
              <w:t>и от 02.08.20</w:t>
            </w:r>
            <w:r>
              <w:rPr>
                <w:b w:val="1"/>
                <w:color w:val="000000"/>
                <w:sz w:val="28"/>
              </w:rPr>
              <w:t>23 № 345-п «</w:t>
            </w:r>
            <w:r>
              <w:rPr>
                <w:b w:val="1"/>
                <w:color w:val="000000"/>
                <w:sz w:val="28"/>
              </w:rPr>
              <w:t>Об утверждении Порядка возмещения затрат, указанных в части 1 статьи 15 Федера</w:t>
            </w:r>
            <w:r>
              <w:rPr>
                <w:b w:val="1"/>
                <w:color w:val="000000"/>
                <w:sz w:val="28"/>
              </w:rPr>
              <w:t xml:space="preserve">льного закона </w:t>
            </w:r>
            <w:r>
              <w:rPr>
                <w:color w:val="000000"/>
              </w:rPr>
              <w:br/>
            </w:r>
            <w:r>
              <w:rPr>
                <w:b w:val="1"/>
                <w:color w:val="000000"/>
                <w:sz w:val="28"/>
              </w:rPr>
              <w:t xml:space="preserve">от 01.04.2020 </w:t>
            </w:r>
            <w:r>
              <w:rPr>
                <w:b w:val="1"/>
                <w:color w:val="000000"/>
                <w:sz w:val="28"/>
              </w:rPr>
              <w:t xml:space="preserve">№ 69-ФЗ «О защите и поощрении капиталовложений </w:t>
            </w:r>
            <w:r>
              <w:rPr>
                <w:color w:val="000000"/>
              </w:rPr>
              <w:br/>
            </w:r>
            <w:r>
              <w:rPr>
                <w:b w:val="1"/>
                <w:color w:val="000000"/>
                <w:sz w:val="28"/>
              </w:rPr>
              <w:t xml:space="preserve">в Российской Федерации», понесенных организацией, реализующей проект, в рамках осуществления инвестиционного проекта, </w:t>
            </w:r>
            <w:r>
              <w:rPr>
                <w:color w:val="000000"/>
              </w:rPr>
              <w:br/>
            </w:r>
            <w:r>
              <w:rPr>
                <w:b w:val="1"/>
                <w:color w:val="000000"/>
                <w:sz w:val="28"/>
              </w:rPr>
              <w:t xml:space="preserve">в отношении которого заключено соглашение о защите </w:t>
            </w:r>
            <w:r>
              <w:rPr>
                <w:color w:val="000000"/>
              </w:rPr>
              <w:br/>
            </w:r>
            <w:r>
              <w:rPr>
                <w:b w:val="1"/>
                <w:color w:val="000000"/>
                <w:sz w:val="28"/>
              </w:rPr>
              <w:t>и поощрении капиталовложений»</w:t>
            </w:r>
          </w:p>
        </w:tc>
      </w:tr>
    </w:tbl>
    <w:p w14:paraId="0E000000">
      <w:pPr>
        <w:spacing w:before="0" w:line="240" w:lineRule="auto"/>
        <w:ind/>
        <w:jc w:val="center"/>
        <w:rPr>
          <w:color w:val="000000"/>
          <w:sz w:val="28"/>
        </w:rPr>
      </w:pPr>
    </w:p>
    <w:p w14:paraId="0F000000">
      <w:pPr>
        <w:spacing w:before="0" w:line="240" w:lineRule="auto"/>
        <w:ind/>
        <w:jc w:val="center"/>
        <w:rPr>
          <w:color w:val="000000"/>
          <w:sz w:val="28"/>
        </w:rPr>
      </w:pPr>
    </w:p>
    <w:tbl>
      <w:tblPr>
        <w:tblStyle w:val="Style_3"/>
        <w:tblLayout w:type="fixed"/>
      </w:tblPr>
      <w:tblGrid>
        <w:gridCol w:w="8820"/>
      </w:tblGrid>
      <w:tr>
        <w:tc>
          <w:tcPr>
            <w:tcW w:type="dxa" w:w="8820"/>
          </w:tcPr>
          <w:p w14:paraId="10000000">
            <w:pPr>
              <w:spacing w:before="0" w:line="240" w:lineRule="auto"/>
              <w:ind w:firstLine="709" w:left="0"/>
              <w:jc w:val="both"/>
              <w:rPr>
                <w:rFonts w:ascii="Times New Roman" w:hAnsi="Times New Roman"/>
                <w:color w:val="000000"/>
                <w:sz w:val="28"/>
              </w:rPr>
            </w:pPr>
            <w:r>
              <w:rPr>
                <w:rFonts w:ascii="Times New Roman" w:hAnsi="Times New Roman"/>
                <w:color w:val="000000"/>
                <w:sz w:val="28"/>
              </w:rPr>
              <w:t>В соответствии со ста</w:t>
            </w:r>
            <w:r>
              <w:rPr>
                <w:rFonts w:ascii="Times New Roman" w:hAnsi="Times New Roman"/>
                <w:color w:val="000000"/>
                <w:sz w:val="28"/>
              </w:rPr>
              <w:t>тьей 78 Бюджетного кодекса Российской Федерации, пунктом 5 части 7 статьи 4,</w:t>
            </w:r>
            <w:r>
              <w:rPr>
                <w:color w:val="000000"/>
                <w:sz w:val="28"/>
              </w:rPr>
              <w:t xml:space="preserve"> частью 7.1 статьи </w:t>
            </w:r>
            <w:r>
              <w:rPr>
                <w:rFonts w:ascii="Times New Roman" w:hAnsi="Times New Roman"/>
                <w:color w:val="000000"/>
                <w:sz w:val="28"/>
              </w:rPr>
              <w:t>9 Федерального закона от 01.04.2020 № 69-ФЗ «О защите и поощрении капиталовложений в Российской Федерации», постановлением Правительства Российской Федер</w:t>
            </w:r>
            <w:r>
              <w:rPr>
                <w:rFonts w:ascii="Times New Roman" w:hAnsi="Times New Roman"/>
                <w:color w:val="000000"/>
                <w:sz w:val="28"/>
              </w:rPr>
              <w:t xml:space="preserve">ации от 03.10.2020 № 1599 </w:t>
            </w:r>
            <w:r>
              <w:rPr>
                <w:color w:val="000000"/>
              </w:rPr>
              <w:br/>
            </w:r>
            <w:r>
              <w:rPr>
                <w:rFonts w:ascii="Times New Roman" w:hAnsi="Times New Roman"/>
                <w:color w:val="000000"/>
                <w:sz w:val="28"/>
              </w:rPr>
              <w:t>«О порядке возмещения затрат, указанных в части 1 статьи 15 Федерального закона «О защите и поощрении капиталовложений в Российской Федерации», понесенных организацией, реализующей проект, в рамках осуществления инвестиционного проекта, в отношении которого заключено соглашение о защите и поощрении капиталовложений»,</w:t>
            </w:r>
            <w:r>
              <w:rPr>
                <w:rFonts w:ascii="Times New Roman" w:hAnsi="Times New Roman"/>
                <w:color w:val="000000"/>
                <w:sz w:val="28"/>
              </w:rPr>
              <w:t xml:space="preserve"> Правительство Ивановской области </w:t>
            </w:r>
            <w:r>
              <w:rPr>
                <w:color w:val="000000"/>
              </w:rPr>
              <w:br/>
            </w:r>
            <w:r>
              <w:rPr>
                <w:rFonts w:ascii="Times New Roman" w:hAnsi="Times New Roman"/>
                <w:b w:val="1"/>
                <w:color w:val="000000"/>
                <w:sz w:val="28"/>
              </w:rPr>
              <w:t>п о с т а н о в л я е т:</w:t>
            </w:r>
          </w:p>
          <w:p w14:paraId="11000000">
            <w:pPr>
              <w:spacing w:before="0" w:line="240" w:lineRule="auto"/>
              <w:ind w:firstLine="709" w:left="0"/>
              <w:jc w:val="both"/>
              <w:rPr>
                <w:rFonts w:ascii="Times New Roman" w:hAnsi="Times New Roman"/>
                <w:color w:val="000000"/>
                <w:sz w:val="28"/>
              </w:rPr>
            </w:pPr>
            <w:r>
              <w:rPr>
                <w:rFonts w:ascii="Times New Roman" w:hAnsi="Times New Roman"/>
                <w:color w:val="000000"/>
                <w:sz w:val="28"/>
              </w:rPr>
              <w:t xml:space="preserve">1. </w:t>
            </w:r>
            <w:r>
              <w:rPr>
                <w:color w:val="000000"/>
                <w:sz w:val="28"/>
              </w:rPr>
              <w:t>Внести в постановление Правительства Ивановской области от 11.11.2021 № 547-п «Об утверждении перечня законов и иных нормативных правовых актов Ивановской области, применяемых с учетом особенностей, установленных статьей 9 Федерального закона от 01.04.2020 № 69-ФЗ «О защите и поощрении капиталовложений в Российской Федерации» следующие изменения</w:t>
            </w:r>
            <w:r>
              <w:rPr>
                <w:rFonts w:ascii="Times New Roman" w:hAnsi="Times New Roman"/>
                <w:color w:val="000000"/>
                <w:sz w:val="28"/>
              </w:rPr>
              <w:t>:</w:t>
            </w:r>
          </w:p>
          <w:p w14:paraId="12000000">
            <w:pPr>
              <w:pStyle w:val="Style_4"/>
              <w:tabs>
                <w:tab w:leader="none" w:pos="1393" w:val="left"/>
              </w:tabs>
              <w:spacing w:before="0" w:line="240" w:lineRule="auto"/>
              <w:ind w:firstLine="709" w:left="0"/>
              <w:jc w:val="both"/>
              <w:rPr>
                <w:rFonts w:ascii="Times New Roman" w:hAnsi="Times New Roman"/>
                <w:color w:val="000000"/>
                <w:sz w:val="28"/>
              </w:rPr>
            </w:pPr>
            <w:r>
              <w:rPr>
                <w:rFonts w:ascii="Times New Roman" w:hAnsi="Times New Roman"/>
                <w:color w:val="000000"/>
                <w:sz w:val="28"/>
              </w:rPr>
              <w:t>пункт 13 изложить в следующей редакции:</w:t>
            </w:r>
          </w:p>
          <w:p w14:paraId="13000000">
            <w:pPr>
              <w:pStyle w:val="Style_4"/>
              <w:tabs>
                <w:tab w:leader="none" w:pos="1393" w:val="left"/>
              </w:tabs>
              <w:spacing w:before="0" w:line="240" w:lineRule="auto"/>
              <w:ind w:firstLine="709" w:left="0"/>
              <w:jc w:val="both"/>
              <w:rPr>
                <w:rFonts w:ascii="Times New Roman" w:hAnsi="Times New Roman"/>
                <w:color w:val="000000"/>
                <w:sz w:val="28"/>
              </w:rPr>
            </w:pPr>
            <w:r>
              <w:rPr>
                <w:rFonts w:ascii="Times New Roman" w:hAnsi="Times New Roman"/>
                <w:color w:val="000000"/>
                <w:sz w:val="28"/>
              </w:rPr>
              <w:t>«</w:t>
            </w:r>
            <w:r>
              <w:rPr>
                <w:color w:val="000000"/>
                <w:sz w:val="28"/>
              </w:rPr>
              <w:t xml:space="preserve">13. </w:t>
            </w:r>
            <w:r>
              <w:rPr>
                <w:color w:val="000000"/>
                <w:sz w:val="28"/>
              </w:rPr>
              <w:t xml:space="preserve">Постановление Правительства Ивановской области </w:t>
            </w:r>
            <w:r>
              <w:rPr>
                <w:color w:val="000000"/>
              </w:rPr>
              <w:br/>
            </w:r>
            <w:r>
              <w:rPr>
                <w:color w:val="000000"/>
                <w:sz w:val="28"/>
              </w:rPr>
              <w:t>от 16.02.2026 № 46-п «</w:t>
            </w:r>
            <w:r>
              <w:rPr>
                <w:color w:val="000000"/>
                <w:sz w:val="28"/>
              </w:rPr>
              <w:t>Об утверждении региональных нормативов градостроительного проектирования Ивановской области»</w:t>
            </w:r>
            <w:r>
              <w:rPr>
                <w:rFonts w:ascii="Times New Roman" w:hAnsi="Times New Roman"/>
                <w:color w:val="000000"/>
                <w:sz w:val="28"/>
              </w:rPr>
              <w:t>;</w:t>
            </w:r>
          </w:p>
          <w:p w14:paraId="14000000">
            <w:pPr>
              <w:pStyle w:val="Style_4"/>
              <w:tabs>
                <w:tab w:leader="none" w:pos="1393" w:val="left"/>
              </w:tabs>
              <w:spacing w:before="0" w:line="240" w:lineRule="auto"/>
              <w:ind w:firstLine="709" w:left="0"/>
              <w:jc w:val="both"/>
              <w:rPr>
                <w:rFonts w:ascii="Times New Roman" w:hAnsi="Times New Roman"/>
                <w:color w:val="000000"/>
                <w:sz w:val="28"/>
              </w:rPr>
            </w:pPr>
            <w:r>
              <w:rPr>
                <w:rFonts w:ascii="Times New Roman" w:hAnsi="Times New Roman"/>
                <w:color w:val="000000"/>
                <w:sz w:val="28"/>
              </w:rPr>
              <w:t>п</w:t>
            </w:r>
            <w:r>
              <w:rPr>
                <w:rFonts w:ascii="Times New Roman" w:hAnsi="Times New Roman"/>
                <w:color w:val="000000"/>
                <w:sz w:val="28"/>
              </w:rPr>
              <w:t>ункт 16 изложить в следующей редакции:</w:t>
            </w:r>
          </w:p>
          <w:p w14:paraId="15000000">
            <w:pPr>
              <w:spacing w:before="0" w:line="240" w:lineRule="auto"/>
              <w:ind w:firstLine="709" w:left="0"/>
              <w:jc w:val="both"/>
              <w:rPr>
                <w:rFonts w:ascii="Times New Roman" w:hAnsi="Times New Roman"/>
                <w:color w:val="000000"/>
                <w:sz w:val="28"/>
              </w:rPr>
            </w:pPr>
            <w:r>
              <w:rPr>
                <w:rFonts w:ascii="Times New Roman" w:hAnsi="Times New Roman"/>
                <w:color w:val="000000"/>
                <w:sz w:val="28"/>
              </w:rPr>
              <w:t xml:space="preserve">«16. </w:t>
            </w:r>
            <w:r>
              <w:rPr>
                <w:color w:val="000000"/>
                <w:sz w:val="28"/>
              </w:rPr>
              <w:t>Приказ Департамента строительства и архитектуры Ивановской области от 25.03.2026 № 22 «</w:t>
            </w:r>
            <w:r>
              <w:rPr>
                <w:color w:val="000000"/>
                <w:sz w:val="28"/>
              </w:rPr>
              <w:t>Об утверждении административного регламента предоставления государственной услуги «Выдача разрешений на строительство объекта капитального строительства в случае, если строительство объекта капитального строительства планируется осуществлять на территориях двух и более муниципальных образований Ивановской области (муниципальных районов, муниципальных округов, городских округов), и в случае реконструкции объекта капитального строительства, расположенного на территориях двух и более муниципальных образований Ивановской области (муниципальных районов, муниципальных округов, городских округов)» и о признании утратившими силу ряда приказов Департамента строительства и архитектуры Ивановской области».</w:t>
            </w:r>
          </w:p>
          <w:p w14:paraId="16000000">
            <w:pPr>
              <w:pStyle w:val="Style_4"/>
              <w:tabs>
                <w:tab w:leader="none" w:pos="1393" w:val="left"/>
              </w:tabs>
              <w:spacing w:before="0" w:line="240" w:lineRule="auto"/>
              <w:ind w:firstLine="709" w:left="0"/>
              <w:jc w:val="both"/>
              <w:rPr>
                <w:rFonts w:ascii="Times New Roman" w:hAnsi="Times New Roman"/>
                <w:color w:val="000000"/>
                <w:sz w:val="28"/>
              </w:rPr>
            </w:pPr>
            <w:r>
              <w:rPr>
                <w:rFonts w:ascii="Times New Roman" w:hAnsi="Times New Roman"/>
                <w:color w:val="000000"/>
                <w:sz w:val="28"/>
              </w:rPr>
              <w:t>2. Внест</w:t>
            </w:r>
            <w:r>
              <w:rPr>
                <w:rFonts w:ascii="Times New Roman" w:hAnsi="Times New Roman"/>
                <w:b w:val="0"/>
                <w:color w:val="000000"/>
                <w:sz w:val="28"/>
              </w:rPr>
              <w:t xml:space="preserve">и </w:t>
            </w:r>
            <w:r>
              <w:rPr>
                <w:rFonts w:ascii="Times New Roman" w:hAnsi="Times New Roman"/>
                <w:b w:val="0"/>
                <w:color w:val="000000"/>
                <w:sz w:val="28"/>
              </w:rPr>
              <w:t xml:space="preserve">в постановление Правительства Ивановской области </w:t>
            </w:r>
            <w:r>
              <w:rPr>
                <w:color w:val="000000"/>
              </w:rPr>
              <w:br/>
            </w:r>
            <w:r>
              <w:rPr>
                <w:rFonts w:ascii="Times New Roman" w:hAnsi="Times New Roman"/>
                <w:b w:val="0"/>
                <w:color w:val="000000"/>
                <w:sz w:val="28"/>
              </w:rPr>
              <w:t>от 02.08.20</w:t>
            </w:r>
            <w:r>
              <w:rPr>
                <w:rFonts w:ascii="Times New Roman" w:hAnsi="Times New Roman"/>
                <w:b w:val="0"/>
                <w:color w:val="000000"/>
                <w:sz w:val="28"/>
              </w:rPr>
              <w:t>23 № 345-п «</w:t>
            </w:r>
            <w:r>
              <w:rPr>
                <w:rFonts w:ascii="Times New Roman" w:hAnsi="Times New Roman"/>
                <w:b w:val="0"/>
                <w:color w:val="000000"/>
                <w:sz w:val="28"/>
              </w:rPr>
              <w:t xml:space="preserve">Об утверждении Порядка возмещения затрат, указанных в части 1 статьи 15 Федерального закона от 01.04.2020 </w:t>
            </w:r>
            <w:r>
              <w:rPr>
                <w:color w:val="000000"/>
              </w:rPr>
              <w:br/>
            </w:r>
            <w:r>
              <w:rPr>
                <w:rFonts w:ascii="Times New Roman" w:hAnsi="Times New Roman"/>
                <w:b w:val="0"/>
                <w:color w:val="000000"/>
                <w:sz w:val="28"/>
              </w:rPr>
              <w:t>№ 69-ФЗ «О защите и поощрении капиталовложений в Российской Федерации», понесенных организацией, реализующей проект, в рамках осуществления инвестиционного проекта, в отношении которого заключено соглашение о защите и поощрении капиталовложений»</w:t>
            </w:r>
            <w:r>
              <w:rPr>
                <w:rFonts w:ascii="Times New Roman" w:hAnsi="Times New Roman"/>
                <w:color w:val="000000"/>
                <w:sz w:val="28"/>
              </w:rPr>
              <w:t xml:space="preserve"> изменение, изложив приложение к постановлению в новой редакции согласно приложению к настоящему постановлению.</w:t>
            </w:r>
          </w:p>
        </w:tc>
      </w:tr>
    </w:tbl>
    <w:p w14:paraId="17000000">
      <w:pPr>
        <w:pStyle w:val="Style_5"/>
        <w:spacing w:before="0" w:line="240" w:lineRule="auto"/>
        <w:ind/>
        <w:rPr>
          <w:color w:val="000000"/>
        </w:rPr>
      </w:pPr>
    </w:p>
    <w:p w14:paraId="18000000">
      <w:pPr>
        <w:pStyle w:val="Style_5"/>
        <w:spacing w:before="0" w:line="240" w:lineRule="auto"/>
        <w:ind/>
        <w:rPr>
          <w:color w:val="000000"/>
        </w:rPr>
      </w:pPr>
    </w:p>
    <w:p w14:paraId="19000000">
      <w:pPr>
        <w:pStyle w:val="Style_5"/>
        <w:spacing w:before="0" w:line="240" w:lineRule="auto"/>
        <w:ind/>
        <w:rPr>
          <w:color w:val="000000"/>
        </w:rPr>
      </w:pPr>
    </w:p>
    <w:tbl>
      <w:tblPr>
        <w:tblStyle w:val="Style_3"/>
        <w:tblLayout w:type="fixed"/>
      </w:tblPr>
      <w:tblGrid>
        <w:gridCol w:w="4441"/>
        <w:gridCol w:w="4488"/>
      </w:tblGrid>
      <w:tr>
        <w:tc>
          <w:tcPr>
            <w:tcW w:type="dxa" w:w="4441"/>
          </w:tcPr>
          <w:p w14:paraId="1A000000">
            <w:pPr>
              <w:pStyle w:val="Style_5"/>
              <w:spacing w:before="0" w:line="240" w:lineRule="auto"/>
              <w:ind w:firstLine="0" w:left="0" w:right="-156"/>
              <w:jc w:val="left"/>
              <w:rPr>
                <w:b w:val="1"/>
                <w:color w:val="000000"/>
              </w:rPr>
            </w:pPr>
            <w:r>
              <w:rPr>
                <w:b w:val="1"/>
                <w:color w:val="000000"/>
              </w:rPr>
              <w:t>Губернатор</w:t>
            </w:r>
          </w:p>
          <w:p w14:paraId="1B000000">
            <w:pPr>
              <w:pStyle w:val="Style_5"/>
              <w:spacing w:before="0" w:line="240" w:lineRule="auto"/>
              <w:ind w:firstLine="0" w:left="0" w:right="-156"/>
              <w:jc w:val="left"/>
              <w:rPr>
                <w:b w:val="1"/>
                <w:color w:val="000000"/>
              </w:rPr>
            </w:pPr>
            <w:r>
              <w:rPr>
                <w:b w:val="1"/>
                <w:color w:val="000000"/>
              </w:rPr>
              <w:t>Ивановской области</w:t>
            </w:r>
          </w:p>
        </w:tc>
        <w:tc>
          <w:tcPr>
            <w:tcW w:type="dxa" w:w="4488"/>
          </w:tcPr>
          <w:p w14:paraId="1C000000">
            <w:pPr>
              <w:pStyle w:val="Style_5"/>
              <w:spacing w:before="0" w:line="240" w:lineRule="auto"/>
              <w:ind w:firstLine="0" w:left="0"/>
              <w:jc w:val="right"/>
              <w:rPr>
                <w:b w:val="1"/>
                <w:color w:val="000000"/>
              </w:rPr>
            </w:pPr>
          </w:p>
          <w:p w14:paraId="1D000000">
            <w:pPr>
              <w:pStyle w:val="Style_5"/>
              <w:spacing w:before="0" w:line="240" w:lineRule="auto"/>
              <w:ind w:firstLine="0" w:left="0"/>
              <w:jc w:val="right"/>
              <w:rPr>
                <w:b w:val="1"/>
                <w:color w:val="000000"/>
              </w:rPr>
            </w:pPr>
            <w:r>
              <w:rPr>
                <w:b w:val="1"/>
                <w:color w:val="000000"/>
              </w:rPr>
              <w:t>С.С. Воскресенский</w:t>
            </w:r>
          </w:p>
        </w:tc>
      </w:tr>
    </w:tbl>
    <w:p w14:paraId="1E000000">
      <w:pPr>
        <w:spacing w:before="0" w:line="240" w:lineRule="auto"/>
        <w:ind/>
        <w:jc w:val="right"/>
        <w:rPr>
          <w:color w:val="000000"/>
          <w:sz w:val="28"/>
        </w:rPr>
      </w:pPr>
      <w:r>
        <w:rPr>
          <w:color w:val="000000"/>
        </w:rPr>
        <w:br w:type="page"/>
      </w:r>
      <w:r>
        <w:rPr>
          <w:color w:val="000000"/>
          <w:sz w:val="28"/>
        </w:rPr>
        <w:t>Приложение к постановлению</w:t>
      </w:r>
    </w:p>
    <w:p w14:paraId="1F000000">
      <w:pPr>
        <w:spacing w:before="0" w:line="240" w:lineRule="auto"/>
        <w:ind/>
        <w:jc w:val="right"/>
        <w:rPr>
          <w:color w:val="000000"/>
          <w:sz w:val="28"/>
        </w:rPr>
      </w:pPr>
      <w:r>
        <w:rPr>
          <w:color w:val="000000"/>
          <w:sz w:val="28"/>
        </w:rPr>
        <w:t>Правительства Ивановской области</w:t>
      </w:r>
    </w:p>
    <w:p w14:paraId="20000000">
      <w:pPr>
        <w:spacing w:before="0" w:line="240" w:lineRule="auto"/>
        <w:ind/>
        <w:jc w:val="right"/>
        <w:rPr>
          <w:color w:val="000000"/>
          <w:sz w:val="28"/>
        </w:rPr>
      </w:pPr>
      <w:r>
        <w:rPr>
          <w:color w:val="000000"/>
          <w:sz w:val="28"/>
        </w:rPr>
        <w:t xml:space="preserve">от ________________ № </w:t>
      </w:r>
      <w:r>
        <w:rPr>
          <w:color w:val="000000"/>
          <w:sz w:val="28"/>
        </w:rPr>
        <w:t>_____</w:t>
      </w:r>
      <w:r>
        <w:rPr>
          <w:color w:val="000000"/>
          <w:sz w:val="28"/>
        </w:rPr>
        <w:t>_-</w:t>
      </w:r>
      <w:r>
        <w:rPr>
          <w:color w:val="000000"/>
          <w:sz w:val="28"/>
        </w:rPr>
        <w:t>п</w:t>
      </w:r>
    </w:p>
    <w:p w14:paraId="21000000">
      <w:pPr>
        <w:spacing w:before="0" w:line="240" w:lineRule="auto"/>
        <w:ind/>
        <w:jc w:val="right"/>
        <w:rPr>
          <w:color w:val="000000"/>
          <w:sz w:val="28"/>
        </w:rPr>
      </w:pPr>
    </w:p>
    <w:p w14:paraId="22000000">
      <w:pPr>
        <w:spacing w:before="0" w:line="240" w:lineRule="auto"/>
        <w:ind/>
        <w:jc w:val="right"/>
        <w:rPr>
          <w:color w:val="000000"/>
          <w:sz w:val="28"/>
        </w:rPr>
      </w:pPr>
      <w:r>
        <w:rPr>
          <w:color w:val="000000"/>
          <w:sz w:val="28"/>
        </w:rPr>
        <w:t>Приложение к постановлению</w:t>
      </w:r>
    </w:p>
    <w:p w14:paraId="23000000">
      <w:pPr>
        <w:spacing w:before="0" w:line="240" w:lineRule="auto"/>
        <w:ind/>
        <w:jc w:val="right"/>
        <w:rPr>
          <w:color w:val="000000"/>
          <w:sz w:val="28"/>
        </w:rPr>
      </w:pPr>
      <w:r>
        <w:rPr>
          <w:color w:val="000000"/>
          <w:sz w:val="28"/>
        </w:rPr>
        <w:t>Правительства Ивановской области</w:t>
      </w:r>
    </w:p>
    <w:p w14:paraId="24000000">
      <w:pPr>
        <w:spacing w:before="0" w:line="240" w:lineRule="auto"/>
        <w:ind/>
        <w:jc w:val="right"/>
        <w:rPr>
          <w:color w:val="000000"/>
          <w:sz w:val="28"/>
        </w:rPr>
      </w:pPr>
      <w:r>
        <w:rPr>
          <w:color w:val="000000"/>
          <w:sz w:val="28"/>
        </w:rPr>
        <w:t>от 02.08.2023 № 345-п</w:t>
      </w:r>
    </w:p>
    <w:p w14:paraId="25000000">
      <w:pPr>
        <w:spacing w:before="0" w:line="240" w:lineRule="auto"/>
        <w:ind/>
        <w:jc w:val="right"/>
        <w:rPr>
          <w:color w:val="000000"/>
          <w:sz w:val="28"/>
        </w:rPr>
      </w:pPr>
    </w:p>
    <w:p w14:paraId="26000000">
      <w:pPr>
        <w:widowControl w:val="0"/>
        <w:spacing w:before="0" w:line="240" w:lineRule="auto"/>
        <w:ind w:firstLine="0" w:left="0"/>
        <w:jc w:val="center"/>
        <w:rPr>
          <w:b w:val="1"/>
          <w:color w:val="000000"/>
          <w:sz w:val="28"/>
        </w:rPr>
      </w:pPr>
      <w:r>
        <w:rPr>
          <w:b w:val="1"/>
          <w:color w:val="000000"/>
          <w:sz w:val="28"/>
        </w:rPr>
        <w:t>П О Р Я Д О К</w:t>
      </w:r>
    </w:p>
    <w:p w14:paraId="27000000">
      <w:pPr>
        <w:widowControl w:val="0"/>
        <w:spacing w:before="0" w:line="240" w:lineRule="auto"/>
        <w:ind w:firstLine="0" w:left="0"/>
        <w:jc w:val="center"/>
        <w:rPr>
          <w:b w:val="1"/>
          <w:color w:val="000000"/>
          <w:sz w:val="28"/>
        </w:rPr>
      </w:pPr>
      <w:r>
        <w:rPr>
          <w:rFonts w:ascii="Times New Roman" w:hAnsi="Times New Roman"/>
          <w:b w:val="1"/>
          <w:color w:val="000000"/>
          <w:sz w:val="28"/>
        </w:rPr>
        <w:t xml:space="preserve">возмещения затрат, указанных в части 1 статьи 15 Федерального закона от 01.04.2020 </w:t>
      </w:r>
      <w:r>
        <w:rPr>
          <w:rFonts w:ascii="Times New Roman" w:hAnsi="Times New Roman"/>
          <w:b w:val="1"/>
          <w:color w:val="000000"/>
          <w:sz w:val="28"/>
        </w:rPr>
        <w:t>№ 69-ФЗ «О защите и поощрении капиталовложений в Российской Федерации», понесенных организацией, реализующей проект, в рамках осуществления инвестиционного проекта, в отношении которого заключено соглашение о защите и поощрении капиталовложений</w:t>
      </w:r>
    </w:p>
    <w:p w14:paraId="28000000">
      <w:pPr>
        <w:widowControl w:val="0"/>
        <w:spacing w:before="0" w:line="240" w:lineRule="auto"/>
        <w:ind w:firstLine="0" w:left="0"/>
        <w:jc w:val="both"/>
        <w:rPr>
          <w:color w:val="000000"/>
          <w:sz w:val="28"/>
        </w:rPr>
      </w:pPr>
    </w:p>
    <w:p w14:paraId="29000000">
      <w:pPr>
        <w:widowControl w:val="0"/>
        <w:spacing w:before="0" w:line="240" w:lineRule="auto"/>
        <w:ind w:firstLine="0" w:left="0"/>
        <w:jc w:val="center"/>
        <w:outlineLvl w:val="1"/>
        <w:rPr>
          <w:b w:val="1"/>
          <w:color w:val="000000"/>
          <w:sz w:val="28"/>
        </w:rPr>
      </w:pPr>
      <w:r>
        <w:rPr>
          <w:b w:val="1"/>
          <w:color w:val="000000"/>
          <w:sz w:val="28"/>
        </w:rPr>
        <w:t>1. Общие положения</w:t>
      </w:r>
    </w:p>
    <w:p w14:paraId="2A000000">
      <w:pPr>
        <w:widowControl w:val="0"/>
        <w:spacing w:before="0" w:line="240" w:lineRule="auto"/>
        <w:ind w:firstLine="0" w:left="0"/>
        <w:jc w:val="both"/>
        <w:rPr>
          <w:color w:val="000000"/>
          <w:sz w:val="28"/>
        </w:rPr>
      </w:pPr>
    </w:p>
    <w:p w14:paraId="2B000000">
      <w:pPr>
        <w:widowControl w:val="0"/>
        <w:spacing w:before="0" w:line="240" w:lineRule="auto"/>
        <w:ind w:firstLine="709" w:left="0"/>
        <w:jc w:val="both"/>
        <w:rPr>
          <w:sz w:val="28"/>
        </w:rPr>
      </w:pPr>
      <w:r>
        <w:rPr>
          <w:sz w:val="28"/>
        </w:rPr>
        <w:t>1. Настоящий Порядок устанавливает порядок предоставления субсидии в целях возмещения из областного бюджета затрат, предусмотренных частью 1 статьи 15 Федерального закона от 01.04.2020 № 69-ФЗ «О защите и поощрении капиталовложений в Российской Федерации», понесенных организацией, реализующей проект, в рамках осуществления инвестиционного проекта (далее - проект), в отношении которого заключено соглашение о защите и поощрении капиталовложений.</w:t>
      </w:r>
    </w:p>
    <w:p w14:paraId="2C000000">
      <w:pPr>
        <w:widowControl w:val="0"/>
        <w:spacing w:before="0" w:line="240" w:lineRule="auto"/>
        <w:ind w:firstLine="709" w:left="0"/>
        <w:jc w:val="both"/>
        <w:rPr>
          <w:sz w:val="28"/>
        </w:rPr>
      </w:pPr>
      <w:r>
        <w:rPr>
          <w:sz w:val="28"/>
        </w:rPr>
        <w:t>2. В настоящем Порядке используются понятия, установленные Федеральным законом от 01.04.2020 № 69-ФЗ «О защите и поощрении капиталовложений в Российской Федерации» (далее - Федеральный закон), Правилами возмещения затрат, указанных в части 1 статьи 15 Федерального закона</w:t>
      </w:r>
      <w:r>
        <w:rPr>
          <w:sz w:val="28"/>
        </w:rPr>
        <w:t>, понесенных организацией, реализующей проект, в рамках осуществления инвестиционного проекта, в отношении которого заключено соглашение о защите и поощрении капиталовложений, утвержденными постановлением Правительства Российской Федерации от 03.10.2020 № 1599 (далее – Правила).</w:t>
      </w:r>
    </w:p>
    <w:p w14:paraId="2D000000">
      <w:pPr>
        <w:widowControl w:val="0"/>
        <w:spacing w:before="0" w:line="240" w:lineRule="auto"/>
        <w:ind w:firstLine="709" w:left="0"/>
        <w:jc w:val="both"/>
        <w:rPr>
          <w:sz w:val="28"/>
        </w:rPr>
      </w:pPr>
      <w:r>
        <w:rPr>
          <w:sz w:val="28"/>
        </w:rPr>
        <w:t>3. Возмещение затрат в соответствии с настоящим Порядком осуществляется из областного бюджета в форме субсидий (далее - субсидия).</w:t>
      </w:r>
    </w:p>
    <w:p w14:paraId="2E000000">
      <w:pPr>
        <w:widowControl w:val="0"/>
        <w:spacing w:before="0" w:line="240" w:lineRule="auto"/>
        <w:ind w:firstLine="709" w:left="0"/>
        <w:jc w:val="both"/>
        <w:rPr>
          <w:sz w:val="28"/>
        </w:rPr>
      </w:pPr>
      <w:r>
        <w:rPr>
          <w:sz w:val="28"/>
        </w:rPr>
        <w:t>4. Возмещение затрат на цели, предусмотренные пунктом 5 настоящего Порядка, осуществляется по проекту, в отношении которого заключено соглашение о защите и поощрении капиталовложений, которое содержит обязательство Ивановской области осуществлять выплаты из бюджета Ивановской области в пользу организации, реализующей проект, в объеме, не превышающем размера обязательных платежей, исчисленных организацией, реализующей проект, для уплаты в бюджет Ивановской области в связи с реализацией проекта, с учетом ограничений, установленных пунктом 16 настоящего Порядка.</w:t>
      </w:r>
    </w:p>
    <w:p w14:paraId="2F000000">
      <w:pPr>
        <w:widowControl w:val="0"/>
        <w:spacing w:before="0" w:line="240" w:lineRule="auto"/>
        <w:ind w:firstLine="709" w:left="0"/>
        <w:jc w:val="both"/>
        <w:rPr>
          <w:sz w:val="28"/>
        </w:rPr>
      </w:pPr>
      <w:r>
        <w:rPr>
          <w:sz w:val="28"/>
        </w:rPr>
        <w:t>5. Целью предоставления субсидии является оказание финансовой поддержки субъектам инвестиционной деятельности при реализации проекта, являющегося предметом соглашения о защите и поощрении капиталовложений, стороной которого не является Российская Федерация.</w:t>
      </w:r>
    </w:p>
    <w:p w14:paraId="30000000">
      <w:pPr>
        <w:widowControl w:val="0"/>
        <w:spacing w:before="0" w:line="240" w:lineRule="auto"/>
        <w:ind w:firstLine="709" w:left="0"/>
        <w:jc w:val="both"/>
        <w:rPr>
          <w:sz w:val="28"/>
        </w:rPr>
      </w:pPr>
      <w:r>
        <w:rPr>
          <w:sz w:val="28"/>
        </w:rPr>
        <w:t>6. Субсидии предоставляются в пределах бюджетных ассигнований, предусмотренных исполнительному органу государственной власти Ивановской области, ответственному за предоставление мер государственной поддержки в соответствии со статьей 15 Федерального закона</w:t>
      </w:r>
      <w:r>
        <w:rPr>
          <w:sz w:val="28"/>
        </w:rPr>
        <w:t xml:space="preserve">, предоставляющему субсидию и являющемуся главным распорядителем бюджетных средств законом Ивановской области об областном бюджете на соответствующий финансовый год и плановый период </w:t>
      </w:r>
      <w:r>
        <w:rPr>
          <w:sz w:val="28"/>
        </w:rPr>
        <w:t>(далее - уполномоченный орган)</w:t>
      </w:r>
      <w:r>
        <w:rPr>
          <w:sz w:val="28"/>
        </w:rPr>
        <w:t>, и лимитов бюджетных обязательств, утвержденных и доведенных в установленном порядке до уполномоченного органа как получателя средств областного бюджета на цели, указанные в пункте 5 настоящего Порядка.</w:t>
      </w:r>
    </w:p>
    <w:p w14:paraId="31000000">
      <w:pPr>
        <w:widowControl w:val="0"/>
        <w:spacing w:before="0" w:line="240" w:lineRule="auto"/>
        <w:ind w:firstLine="709" w:left="0"/>
        <w:jc w:val="both"/>
        <w:rPr>
          <w:sz w:val="28"/>
        </w:rPr>
      </w:pPr>
      <w:r>
        <w:rPr>
          <w:sz w:val="28"/>
        </w:rPr>
        <w:t>Субсидии предоставляются уполномоченными органами в зависимости от отраслевой принадлежности проекта, являющегося предметом соглашения о защите и поощрении капиталовложений, стороной которого не является Российская Федерация:</w:t>
      </w:r>
    </w:p>
    <w:p w14:paraId="32000000">
      <w:pPr>
        <w:widowControl w:val="0"/>
        <w:spacing w:before="0" w:line="240" w:lineRule="auto"/>
        <w:ind w:firstLine="709" w:left="0"/>
        <w:jc w:val="both"/>
        <w:rPr>
          <w:sz w:val="28"/>
        </w:rPr>
      </w:pPr>
      <w:r>
        <w:rPr>
          <w:sz w:val="28"/>
        </w:rPr>
        <w:t>Департаментом экономического развития и торговли Ивановской области - в сфере обрабатывающей промышленности, за исключением производства пищевой, спиртосодержащей, алкогольной продукции, табачных изделий и строительных материалов;</w:t>
      </w:r>
    </w:p>
    <w:p w14:paraId="33000000">
      <w:pPr>
        <w:widowControl w:val="0"/>
        <w:spacing w:before="0" w:line="240" w:lineRule="auto"/>
        <w:ind w:firstLine="709" w:left="0"/>
        <w:jc w:val="both"/>
        <w:rPr>
          <w:sz w:val="28"/>
        </w:rPr>
      </w:pPr>
      <w:r>
        <w:rPr>
          <w:sz w:val="28"/>
        </w:rPr>
        <w:t>Департаментом сельского хозяйства и продовольствия Ивановской области - в сфере агропромышленного комплекса Ивановской области, включая животноводство (в том числе разведение одомашненных видов и пород рыб, включенных в Государственный реестр охраняемых селекционных достижений), растениеводство, мелиорацию земель, плодородие почв;</w:t>
      </w:r>
    </w:p>
    <w:p w14:paraId="34000000">
      <w:pPr>
        <w:widowControl w:val="0"/>
        <w:spacing w:before="0" w:line="240" w:lineRule="auto"/>
        <w:ind w:firstLine="709" w:left="0"/>
        <w:jc w:val="both"/>
        <w:rPr>
          <w:sz w:val="28"/>
        </w:rPr>
      </w:pPr>
      <w:r>
        <w:rPr>
          <w:sz w:val="28"/>
        </w:rPr>
        <w:t>Департаментом строительства и архитектуры Ивановской области - в сфере строительства, в том числе жилищного, строительства инженерной и коммунальной инфраструктуры.</w:t>
      </w:r>
    </w:p>
    <w:p w14:paraId="35000000">
      <w:pPr>
        <w:widowControl w:val="0"/>
        <w:spacing w:before="0" w:line="240" w:lineRule="auto"/>
        <w:ind w:firstLine="709" w:left="0"/>
        <w:jc w:val="both"/>
        <w:rPr>
          <w:sz w:val="28"/>
        </w:rPr>
      </w:pPr>
      <w:r>
        <w:rPr>
          <w:sz w:val="28"/>
        </w:rPr>
        <w:t>7. Получателем субсидии является организация, реализующая проект в рамках осуществления инвестиционного проекта, в отношении которого заключено соглашение о защите и поощрении капиталовложений, стороной которого не является Российская Федерация, и соответствующая требованиям, установленным настоящим Порядком (далее - организация, реализующая проект).</w:t>
      </w:r>
    </w:p>
    <w:p w14:paraId="36000000">
      <w:pPr>
        <w:widowControl w:val="0"/>
        <w:spacing w:before="0" w:line="240" w:lineRule="auto"/>
        <w:ind w:firstLine="709" w:left="0"/>
        <w:jc w:val="both"/>
        <w:rPr>
          <w:sz w:val="28"/>
        </w:rPr>
      </w:pPr>
      <w:r>
        <w:rPr>
          <w:sz w:val="28"/>
        </w:rPr>
        <w:t xml:space="preserve">В целях получения субсидии организация, реализующая проект, обязана осуществлять раздельный учет сумм налогов и иных обязательных платежей, подлежащих уплате при исполнении соглашений о защите и поощрении капиталовложений, в связи с реализацией проекта </w:t>
      </w:r>
      <w:r>
        <w:rPr>
          <w:sz w:val="28"/>
        </w:rPr>
        <w:t>и при осуществлении иной хозяйственной деятельности, за исключением случаев, установленных статьей 5 Налогового кодекса Российской Федерации.</w:t>
      </w:r>
    </w:p>
    <w:p w14:paraId="37000000">
      <w:pPr>
        <w:spacing w:before="0" w:line="240" w:lineRule="auto"/>
        <w:ind w:firstLine="709" w:left="0"/>
        <w:jc w:val="both"/>
        <w:rPr>
          <w:sz w:val="28"/>
        </w:rPr>
      </w:pPr>
      <w:r>
        <w:rPr>
          <w:sz w:val="28"/>
        </w:rPr>
        <w:t>7.1. Возмещение затрат осуществляется на следующих условиях:</w:t>
      </w:r>
    </w:p>
    <w:p w14:paraId="38000000">
      <w:pPr>
        <w:spacing w:before="0" w:line="240" w:lineRule="auto"/>
        <w:ind w:firstLine="709" w:left="0"/>
        <w:jc w:val="both"/>
        <w:rPr>
          <w:sz w:val="28"/>
        </w:rPr>
      </w:pPr>
      <w:r>
        <w:rPr>
          <w:sz w:val="28"/>
        </w:rPr>
        <w:t>а) затраты организации, реализующей проект, осуществлены на цели, указанные в части 1 статьи 15 Федерального закона</w:t>
      </w:r>
      <w:r>
        <w:rPr>
          <w:sz w:val="28"/>
        </w:rPr>
        <w:t>;</w:t>
      </w:r>
    </w:p>
    <w:p w14:paraId="39000000">
      <w:pPr>
        <w:spacing w:before="0" w:line="240" w:lineRule="auto"/>
        <w:ind w:firstLine="709" w:left="0"/>
        <w:jc w:val="both"/>
        <w:rPr>
          <w:sz w:val="28"/>
        </w:rPr>
      </w:pPr>
      <w:r>
        <w:rPr>
          <w:sz w:val="28"/>
        </w:rPr>
        <w:t>б) субсидия предоставляется в пределах объемов возмещения затрат, предусмотренных частями 4 и 5 статьи 15 Федерального закона</w:t>
      </w:r>
      <w:r>
        <w:rPr>
          <w:sz w:val="28"/>
        </w:rPr>
        <w:t>, и сроков, указанных в частях 6 и 7 статьи 15 Федерального закона</w:t>
      </w:r>
      <w:r>
        <w:rPr>
          <w:sz w:val="28"/>
        </w:rPr>
        <w:t>, в размере, не превышающем размера обязательных платежей, фактически уплаченных организацией, реализующей проект, в отчетном финансовом году в бюджет Ивановской области в связи с реализацией проекта;</w:t>
      </w:r>
    </w:p>
    <w:p w14:paraId="3A000000">
      <w:pPr>
        <w:spacing w:before="0" w:line="240" w:lineRule="auto"/>
        <w:ind w:firstLine="709" w:left="0"/>
        <w:jc w:val="both"/>
        <w:rPr>
          <w:sz w:val="28"/>
        </w:rPr>
      </w:pPr>
      <w:r>
        <w:rPr>
          <w:sz w:val="28"/>
        </w:rPr>
        <w:t>в) соблюдение условий, предусмотренных частью 9 статьи 15 Федерального закона</w:t>
      </w:r>
      <w:r>
        <w:rPr>
          <w:sz w:val="28"/>
        </w:rPr>
        <w:t>;</w:t>
      </w:r>
    </w:p>
    <w:p w14:paraId="3B000000">
      <w:pPr>
        <w:spacing w:before="0" w:line="240" w:lineRule="auto"/>
        <w:ind w:firstLine="709" w:left="0"/>
        <w:jc w:val="both"/>
        <w:rPr>
          <w:sz w:val="28"/>
        </w:rPr>
      </w:pPr>
      <w:r>
        <w:rPr>
          <w:sz w:val="28"/>
        </w:rPr>
        <w:t>г) представление заключений, предусмотренных частью 9 статьи 15 Федерального закона</w:t>
      </w:r>
      <w:r>
        <w:rPr>
          <w:sz w:val="28"/>
        </w:rPr>
        <w:t>;</w:t>
      </w:r>
    </w:p>
    <w:p w14:paraId="3C000000">
      <w:pPr>
        <w:spacing w:before="0" w:line="240" w:lineRule="auto"/>
        <w:ind w:firstLine="709" w:left="0"/>
        <w:jc w:val="both"/>
        <w:rPr>
          <w:sz w:val="28"/>
        </w:rPr>
      </w:pPr>
      <w:r>
        <w:rPr>
          <w:sz w:val="28"/>
        </w:rPr>
        <w:t>д) выполнение условий, предусмотренных пунктом 8.3 статьи 78 Бюджетного кодекса Российской Федерации;</w:t>
      </w:r>
    </w:p>
    <w:p w14:paraId="3D000000">
      <w:pPr>
        <w:spacing w:before="0" w:line="240" w:lineRule="auto"/>
        <w:ind w:firstLine="709" w:left="0"/>
        <w:jc w:val="both"/>
        <w:rPr>
          <w:sz w:val="28"/>
        </w:rPr>
      </w:pPr>
      <w:r>
        <w:rPr>
          <w:sz w:val="28"/>
        </w:rPr>
        <w:t>д(1)) реализация жилых помещений, созданных в результате строительства многоквартирных домов, жилых домов в соответствии с договором о комплексном развитии территории, осуществляется организацией, реализующей проект, по цене, определенной исходя из произведения средней рыночной стоимости одного квадратного метра, утвержденной Министерством строительства и жилищно-коммунального хозяйства Российской Федерации, и общей площади таких помещений, уменьшенной на сумму планируемых к возмещению затрат;</w:t>
      </w:r>
    </w:p>
    <w:p w14:paraId="3E000000">
      <w:pPr>
        <w:spacing w:before="0" w:line="240" w:lineRule="auto"/>
        <w:ind w:firstLine="709" w:left="0"/>
        <w:jc w:val="both"/>
        <w:rPr>
          <w:sz w:val="28"/>
        </w:rPr>
      </w:pPr>
      <w:r>
        <w:rPr>
          <w:sz w:val="28"/>
        </w:rPr>
        <w:t>е) в отношении возмещения затрат на цели, указанные в пунктах 1 и 2 части 1 статьи 15 Федерального закона, соблюдены следующие требования:</w:t>
      </w:r>
    </w:p>
    <w:p w14:paraId="3F000000">
      <w:pPr>
        <w:spacing w:before="0" w:line="240" w:lineRule="auto"/>
        <w:ind w:firstLine="709" w:left="0"/>
        <w:jc w:val="both"/>
        <w:rPr>
          <w:sz w:val="28"/>
        </w:rPr>
      </w:pPr>
      <w:r>
        <w:rPr>
          <w:sz w:val="28"/>
        </w:rPr>
        <w:t>в соответствии с частью 17 статьи 15 Федерального закона объекты сопутствующей инфраструктуры соответствуют критериям, предусмотренным пунктом 13 части 1 статьи 2 Федерального закона (в случае возмещения затрат в отношении объектов сопутствующей инфраструктуры);</w:t>
      </w:r>
    </w:p>
    <w:p w14:paraId="40000000">
      <w:pPr>
        <w:spacing w:before="0" w:line="240" w:lineRule="auto"/>
        <w:ind w:firstLine="709" w:left="0"/>
        <w:jc w:val="both"/>
        <w:rPr>
          <w:sz w:val="28"/>
        </w:rPr>
      </w:pPr>
      <w:r>
        <w:rPr>
          <w:sz w:val="28"/>
        </w:rPr>
        <w:t>в соответствии с частью 18 статьи 15 Федерального закона определены источники финансового обеспечения затрат публично-правового образования на обслуживание, содержание, эксплуатацию (с возможностью ликвидации) объектов сопутствующей инфраструктуры, создаваемой в рамках реализации инвестиционного проекта, передаваемых в государственную (муниципальную) собственность или поступающих в собственность регулируемой организации. При возмещении затрат, понесенных в целях создания объектов сопутствующей инфраструктуры, должно быть определено лицо, в собственность которого поступает объект сопутствующей инфраструктуры. На передачу указанного объекта в государственную (муниципальную) собственность или в собственность регулируемой организации требуется согласие публично-правового образования либо регулируемой организации. Такое согласие может быть выражено в договоре (соглашении), предусмотренном частью 19 статьи 15 Федерального закона</w:t>
      </w:r>
      <w:r>
        <w:rPr>
          <w:sz w:val="28"/>
        </w:rPr>
        <w:t xml:space="preserve"> (в случае возмещения затрат в отношении объектов сопутствующей инфраструктуры).</w:t>
      </w:r>
    </w:p>
    <w:p w14:paraId="41000000">
      <w:pPr>
        <w:spacing w:before="0" w:line="240" w:lineRule="auto"/>
        <w:ind w:firstLine="709" w:left="0"/>
        <w:jc w:val="both"/>
        <w:rPr>
          <w:sz w:val="28"/>
        </w:rPr>
      </w:pPr>
      <w:r>
        <w:rPr>
          <w:sz w:val="28"/>
        </w:rPr>
        <w:t>7.2. К получателю субсидии предъявляются следующие требования:</w:t>
      </w:r>
    </w:p>
    <w:p w14:paraId="42000000">
      <w:pPr>
        <w:spacing w:before="0" w:line="240" w:lineRule="auto"/>
        <w:ind w:firstLine="709" w:left="0"/>
        <w:jc w:val="both"/>
        <w:rPr>
          <w:sz w:val="28"/>
        </w:rPr>
      </w:pPr>
      <w:r>
        <w:rPr>
          <w:sz w:val="28"/>
        </w:rPr>
        <w:t>а) организация, реализующая проект, воспользовалась правом на возмещение затрат в срок, установленный частью 12 статьи 15 Федерального закона</w:t>
      </w:r>
      <w:r>
        <w:rPr>
          <w:sz w:val="28"/>
        </w:rPr>
        <w:t>;</w:t>
      </w:r>
    </w:p>
    <w:p w14:paraId="43000000">
      <w:pPr>
        <w:spacing w:before="0" w:line="240" w:lineRule="auto"/>
        <w:ind w:firstLine="709" w:left="0"/>
        <w:jc w:val="both"/>
        <w:rPr>
          <w:sz w:val="28"/>
        </w:rPr>
      </w:pPr>
      <w:r>
        <w:rPr>
          <w:sz w:val="28"/>
        </w:rPr>
        <w:t>б) организация, реализующая проект, соответствует требованию, указанному в части 1.1 статьи 15 Федерального закона;</w:t>
      </w:r>
    </w:p>
    <w:p w14:paraId="44000000">
      <w:pPr>
        <w:spacing w:before="0" w:line="240" w:lineRule="auto"/>
        <w:ind w:firstLine="709" w:left="0"/>
        <w:jc w:val="both"/>
        <w:rPr>
          <w:sz w:val="28"/>
        </w:rPr>
      </w:pPr>
      <w:r>
        <w:rPr>
          <w:sz w:val="28"/>
        </w:rPr>
        <w:t>в) у получателя субсидии отсутствует просроченная (неурегулированная) задолженность по денежным обязательствам перед Правительством Ивановской области (за исключением случаев, установленных Правительством Ивановской области);</w:t>
      </w:r>
    </w:p>
    <w:p w14:paraId="45000000">
      <w:pPr>
        <w:spacing w:before="0" w:line="240" w:lineRule="auto"/>
        <w:ind w:firstLine="709" w:left="0"/>
        <w:jc w:val="both"/>
        <w:rPr>
          <w:sz w:val="28"/>
        </w:rPr>
      </w:pPr>
      <w:r>
        <w:rPr>
          <w:sz w:val="28"/>
        </w:rPr>
        <w:t>г) получатель субсидии не находится в процессе реорганизации, ликвидации, в отношении его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w:t>
      </w:r>
    </w:p>
    <w:p w14:paraId="46000000">
      <w:pPr>
        <w:spacing w:before="0" w:line="240" w:lineRule="auto"/>
        <w:ind w:firstLine="709" w:left="0"/>
        <w:jc w:val="both"/>
        <w:rPr>
          <w:sz w:val="28"/>
        </w:rPr>
      </w:pPr>
      <w:r>
        <w:rPr>
          <w:sz w:val="28"/>
        </w:rPr>
        <w:t>д) получатель субсидии является стороной соглашения о защите и поощрении капиталовложений;</w:t>
      </w:r>
    </w:p>
    <w:p w14:paraId="47000000">
      <w:pPr>
        <w:spacing w:before="0" w:line="240" w:lineRule="auto"/>
        <w:ind w:firstLine="709" w:left="0"/>
        <w:jc w:val="both"/>
        <w:rPr>
          <w:sz w:val="28"/>
        </w:rPr>
      </w:pPr>
      <w:r>
        <w:rPr>
          <w:sz w:val="28"/>
        </w:rPr>
        <w:t>е)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получателя субсидии.</w:t>
      </w:r>
    </w:p>
    <w:p w14:paraId="48000000">
      <w:pPr>
        <w:widowControl w:val="0"/>
        <w:spacing w:before="0" w:line="240" w:lineRule="auto"/>
        <w:ind w:firstLine="709" w:left="0"/>
        <w:jc w:val="both"/>
        <w:rPr>
          <w:sz w:val="28"/>
        </w:rPr>
      </w:pPr>
      <w:r>
        <w:rPr>
          <w:sz w:val="28"/>
        </w:rPr>
        <w:t>8. Субсидия предоставляется на основании соглашения о предоставлении субсидии в соответствии с типовой формой, установленной Департаментом финансов Ивановской области (далее - соглашение о предоставлении субсидии), которое может содержать дополнительные условия в соответствии с настоящим Порядком и (или) законодательством Российской Федерации.</w:t>
      </w:r>
    </w:p>
    <w:p w14:paraId="49000000">
      <w:pPr>
        <w:widowControl w:val="0"/>
        <w:spacing w:before="0" w:line="240" w:lineRule="auto"/>
        <w:ind w:firstLine="709" w:left="0"/>
        <w:jc w:val="both"/>
        <w:rPr>
          <w:sz w:val="28"/>
        </w:rPr>
      </w:pPr>
      <w:r>
        <w:rPr>
          <w:sz w:val="28"/>
        </w:rPr>
        <w:t>Соглашение о предоставлении субсидии может заключаться в пределах сроков возмещения затрат, установленных частями 6 - 8.1 статьи 15 Федерального закона.</w:t>
      </w:r>
    </w:p>
    <w:p w14:paraId="4A000000">
      <w:pPr>
        <w:widowControl w:val="0"/>
        <w:spacing w:before="0" w:line="240" w:lineRule="auto"/>
        <w:ind w:firstLine="709" w:left="0"/>
        <w:jc w:val="both"/>
        <w:rPr>
          <w:sz w:val="28"/>
        </w:rPr>
      </w:pPr>
      <w:r>
        <w:rPr>
          <w:sz w:val="28"/>
        </w:rPr>
        <w:t>9. Информация о субсидиях, предоставленных организациям, реализующим проект, об объектах инфраструктуры и о правовом статусе объектов инфраструктуры с указанием их текущих правообладателей направляется уполномоченным органом в Департамент экономического развития и торговли Ивановской области и подлежит размещению в государственной информационной системе «Капиталовложения».</w:t>
      </w:r>
    </w:p>
    <w:p w14:paraId="4B000000">
      <w:pPr>
        <w:widowControl w:val="0"/>
        <w:spacing w:before="0" w:line="240" w:lineRule="auto"/>
        <w:ind w:firstLine="709" w:left="0"/>
        <w:jc w:val="both"/>
        <w:rPr>
          <w:sz w:val="28"/>
        </w:rPr>
      </w:pPr>
    </w:p>
    <w:p w14:paraId="4C000000">
      <w:pPr>
        <w:widowControl w:val="0"/>
        <w:spacing w:before="0" w:line="240" w:lineRule="auto"/>
        <w:ind w:firstLine="0" w:left="0"/>
        <w:jc w:val="center"/>
        <w:outlineLvl w:val="1"/>
        <w:rPr>
          <w:b w:val="1"/>
          <w:sz w:val="28"/>
        </w:rPr>
      </w:pPr>
      <w:r>
        <w:rPr>
          <w:b w:val="1"/>
          <w:sz w:val="28"/>
        </w:rPr>
        <w:t>2. Условия и порядок получения субсидии</w:t>
      </w:r>
    </w:p>
    <w:p w14:paraId="4D000000">
      <w:pPr>
        <w:widowControl w:val="0"/>
        <w:spacing w:before="0" w:line="240" w:lineRule="auto"/>
        <w:ind w:firstLine="709" w:left="0"/>
        <w:jc w:val="both"/>
        <w:rPr>
          <w:sz w:val="28"/>
        </w:rPr>
      </w:pPr>
    </w:p>
    <w:p w14:paraId="4E000000">
      <w:pPr>
        <w:widowControl w:val="0"/>
        <w:spacing w:before="0" w:line="240" w:lineRule="auto"/>
        <w:ind w:firstLine="709" w:left="0"/>
        <w:jc w:val="both"/>
        <w:rPr>
          <w:sz w:val="28"/>
        </w:rPr>
      </w:pPr>
      <w:r>
        <w:rPr>
          <w:sz w:val="28"/>
        </w:rPr>
        <w:t>10. Субсидия предоставляется в целях возмещения организации, реализующей проект, затрат на:</w:t>
      </w:r>
    </w:p>
    <w:p w14:paraId="4F000000">
      <w:pPr>
        <w:ind w:firstLine="709" w:left="0"/>
        <w:jc w:val="both"/>
        <w:rPr>
          <w:sz w:val="28"/>
        </w:rPr>
      </w:pPr>
      <w:r>
        <w:rPr>
          <w:sz w:val="28"/>
        </w:rPr>
        <w:t>создание объектов обеспечивающей и (или) сопутствующей инфраструктур, необходимых для реализации проекта, в том числе на реконструкцию объектов инфраструктуры, находящихся в государственной (муниципальной) собственности или собственности регулируемых организаций (включая затраты на технологическое присоединение (примыкание) к инженерным и транспортным сетям);</w:t>
      </w:r>
    </w:p>
    <w:p w14:paraId="50000000">
      <w:pPr>
        <w:ind w:firstLine="709" w:left="0"/>
        <w:jc w:val="both"/>
        <w:rPr>
          <w:sz w:val="28"/>
        </w:rPr>
      </w:pPr>
      <w:r>
        <w:rPr>
          <w:sz w:val="28"/>
        </w:rPr>
        <w:t>уплату процентов по кредитам и займам, купонного дохода по облигационным займам, привлеченным для создания объектов обеспечивающей и (или) сопутствующей инфраструктур, необходимых для реализации проекта, в том числе на реконструкцию объектов инфраструктуры, находящихся в государственной (муниципальной) собственности, если уплата таких процентов была осуществлена на инвестиционной стадии, при условии, что в отношении таких кредитов и займов, включая облигационные займы, не предоставляются меры прямой государственной поддержки;</w:t>
      </w:r>
    </w:p>
    <w:p w14:paraId="51000000">
      <w:pPr>
        <w:ind w:firstLine="709" w:left="0"/>
        <w:jc w:val="both"/>
        <w:rPr>
          <w:sz w:val="28"/>
        </w:rPr>
      </w:pPr>
      <w:r>
        <w:rPr>
          <w:sz w:val="28"/>
        </w:rPr>
        <w:t>уплату процентов по кредитам и займам, купонного дохода по облигационным займам, привлеченным для реализации проекта в части создания основного объекта проекта (основных объектов проекта), если уплата таких процентов была осуществлена на инвестиционной стадии, при условии, что в отношении таких кредитов и займов, включая облигационные займы, не предоставляются меры прямой государственной поддержки;</w:t>
      </w:r>
    </w:p>
    <w:p w14:paraId="52000000">
      <w:pPr>
        <w:ind w:firstLine="709" w:left="0"/>
        <w:jc w:val="both"/>
        <w:rPr>
          <w:sz w:val="28"/>
        </w:rPr>
      </w:pPr>
      <w:r>
        <w:rPr>
          <w:sz w:val="28"/>
        </w:rPr>
        <w:t>демонтаж объектов, расположенных на территориях военных городков (в части жилищного строительства), при одновременном выполнении условий, предусмотренных пунктом 5 части 1 статьи 15 Федерального закона.</w:t>
      </w:r>
    </w:p>
    <w:p w14:paraId="53000000">
      <w:pPr>
        <w:widowControl w:val="0"/>
        <w:spacing w:before="0" w:line="240" w:lineRule="auto"/>
        <w:ind w:firstLine="709" w:left="0"/>
        <w:jc w:val="both"/>
        <w:rPr>
          <w:sz w:val="28"/>
        </w:rPr>
      </w:pPr>
      <w:r>
        <w:rPr>
          <w:sz w:val="28"/>
        </w:rPr>
        <w:t>11. Затраты организации, реализующей проект, не возмещаются в случаях, если:</w:t>
      </w:r>
    </w:p>
    <w:p w14:paraId="54000000">
      <w:pPr>
        <w:widowControl w:val="0"/>
        <w:spacing w:before="0" w:line="240" w:lineRule="auto"/>
        <w:ind w:firstLine="709" w:left="0"/>
        <w:jc w:val="both"/>
        <w:rPr>
          <w:sz w:val="28"/>
        </w:rPr>
      </w:pPr>
      <w:r>
        <w:rPr>
          <w:sz w:val="28"/>
        </w:rPr>
        <w:t>11.1. Затраты уже возмещены организации, реализующей проект (взаимозависимым с ней лицам), за счет средств бюджетов бюджетной системы Российской Федерации.</w:t>
      </w:r>
    </w:p>
    <w:p w14:paraId="55000000">
      <w:pPr>
        <w:widowControl w:val="0"/>
        <w:spacing w:before="0" w:line="240" w:lineRule="auto"/>
        <w:ind w:firstLine="709" w:left="0"/>
        <w:jc w:val="both"/>
        <w:rPr>
          <w:sz w:val="28"/>
        </w:rPr>
      </w:pPr>
      <w:r>
        <w:rPr>
          <w:sz w:val="28"/>
        </w:rPr>
        <w:t>11.2. Проект реализуется в сфере цифровой экономики, по нему предоставляются меры государственной поддержки в соответствии с национальной программой «Цифровая экономика Российской Федерации».</w:t>
      </w:r>
    </w:p>
    <w:p w14:paraId="56000000">
      <w:pPr>
        <w:widowControl w:val="0"/>
        <w:spacing w:before="0" w:line="240" w:lineRule="auto"/>
        <w:ind w:firstLine="709" w:left="0"/>
        <w:jc w:val="both"/>
        <w:rPr>
          <w:sz w:val="28"/>
        </w:rPr>
      </w:pPr>
      <w:r>
        <w:rPr>
          <w:sz w:val="28"/>
        </w:rPr>
        <w:t>11.3. Проект реализуется в сфере добычи руд цветных металлов (золота), объем капитальных вложений в который составляет не менее 300 млрд рублей и организация, реализующая проект, включена в реестр участников региональных инвестиционных проектов.</w:t>
      </w:r>
    </w:p>
    <w:p w14:paraId="57000000">
      <w:pPr>
        <w:widowControl w:val="0"/>
        <w:spacing w:before="0" w:line="240" w:lineRule="auto"/>
        <w:ind w:firstLine="709" w:left="0"/>
        <w:jc w:val="both"/>
        <w:rPr>
          <w:sz w:val="28"/>
        </w:rPr>
      </w:pPr>
      <w:r>
        <w:rPr>
          <w:sz w:val="28"/>
        </w:rPr>
        <w:t xml:space="preserve">12. Основанием для отнесения объектов инфраструктуры к обеспечивающей или сопутствующей инфраструктуре, необходимой для реализации проекта, является цель использования и эксплуатации </w:t>
      </w:r>
      <w:r>
        <w:rPr>
          <w:sz w:val="28"/>
        </w:rPr>
        <w:t>соответствующих объектов инфраструктуры.</w:t>
      </w:r>
    </w:p>
    <w:p w14:paraId="58000000">
      <w:pPr>
        <w:widowControl w:val="0"/>
        <w:spacing w:before="0" w:line="240" w:lineRule="auto"/>
        <w:ind w:firstLine="709" w:left="0"/>
        <w:jc w:val="both"/>
        <w:rPr>
          <w:sz w:val="28"/>
        </w:rPr>
      </w:pPr>
      <w:r>
        <w:rPr>
          <w:sz w:val="28"/>
        </w:rPr>
        <w:t xml:space="preserve">12.1. </w:t>
      </w:r>
      <w:r>
        <w:rPr>
          <w:sz w:val="28"/>
        </w:rPr>
        <w:t>К обеспечивающей инфраструктуре относятся объекты инфраструктуры, целью использования и эксплуатации которых является исключительно обеспечение функционирования основного объекта проекта (основных объектов проекта), обеспечение нового производства товаров (работ, услуг), обеспечение увеличения объемов существующего пр</w:t>
      </w:r>
      <w:r>
        <w:rPr>
          <w:sz w:val="28"/>
        </w:rPr>
        <w:t>оизводства товаров (работ, услуг) и (или) предотвращения (минимизации) негативного влияния на окружающую среду (в зависимости от цели проекта)</w:t>
      </w:r>
      <w:r>
        <w:rPr>
          <w:sz w:val="28"/>
        </w:rPr>
        <w:t>.</w:t>
      </w:r>
    </w:p>
    <w:p w14:paraId="59000000">
      <w:pPr>
        <w:widowControl w:val="0"/>
        <w:spacing w:before="0" w:line="240" w:lineRule="auto"/>
        <w:ind w:firstLine="709" w:left="0"/>
        <w:jc w:val="both"/>
        <w:rPr>
          <w:sz w:val="28"/>
        </w:rPr>
      </w:pPr>
      <w:r>
        <w:rPr>
          <w:sz w:val="28"/>
        </w:rPr>
        <w:t xml:space="preserve">12.2. </w:t>
      </w:r>
      <w:r>
        <w:rPr>
          <w:sz w:val="28"/>
        </w:rPr>
        <w:t>К сопутствующей инфраструктуре относятся объекты инфраструктуры, целью использования и эксплуатации которых является не только цель</w:t>
      </w:r>
      <w:r>
        <w:rPr>
          <w:sz w:val="28"/>
        </w:rPr>
        <w:t xml:space="preserve">, указанная в пункте 12.1 настоящего Порядка, </w:t>
      </w:r>
      <w:r>
        <w:rPr>
          <w:sz w:val="28"/>
        </w:rPr>
        <w:t>но и использование объекта инфраструктуры в иных целях, в том числе возможность эксплуатации (использования) объекта инфраструктуры неограниченным кругом лиц с учетом свободной мощности (в отношении объектов железнодорожного транспорта к такой инфраструктуре относятся объекты инфраструктуры железнодорожного транспорта общего пользования)</w:t>
      </w:r>
      <w:r>
        <w:rPr>
          <w:sz w:val="28"/>
        </w:rPr>
        <w:t>, при условии, что указанные объекты соответствуют одному из следующих требований:</w:t>
      </w:r>
    </w:p>
    <w:p w14:paraId="5A000000">
      <w:pPr>
        <w:widowControl w:val="0"/>
        <w:spacing w:before="0" w:line="240" w:lineRule="auto"/>
        <w:ind w:firstLine="709" w:left="0"/>
        <w:jc w:val="both"/>
        <w:rPr>
          <w:sz w:val="28"/>
        </w:rPr>
      </w:pPr>
      <w:r>
        <w:rPr>
          <w:sz w:val="28"/>
        </w:rPr>
        <w:t>а) находятся в государственной (муниципальной) собственности или подлежат передаче организацией, реализующей проект, в государственную (муниципальную) собственность;</w:t>
      </w:r>
    </w:p>
    <w:p w14:paraId="5B000000">
      <w:pPr>
        <w:widowControl w:val="0"/>
        <w:spacing w:before="0" w:line="240" w:lineRule="auto"/>
        <w:ind w:firstLine="709" w:left="0"/>
        <w:jc w:val="both"/>
        <w:rPr>
          <w:sz w:val="28"/>
        </w:rPr>
      </w:pPr>
      <w:r>
        <w:rPr>
          <w:sz w:val="28"/>
        </w:rPr>
        <w:t>б) наход</w:t>
      </w:r>
      <w:r>
        <w:rPr>
          <w:sz w:val="28"/>
        </w:rPr>
        <w:t>ятся в собственности регулируемой организации и (или) по договору, заключенному с регулируемой организацией, в том числе договору технологического присоединения, поступают в собственность этой организации.</w:t>
      </w:r>
    </w:p>
    <w:p w14:paraId="5C000000">
      <w:pPr>
        <w:widowControl w:val="0"/>
        <w:spacing w:before="0" w:line="240" w:lineRule="auto"/>
        <w:ind w:firstLine="709" w:left="0"/>
        <w:jc w:val="both"/>
        <w:rPr>
          <w:sz w:val="28"/>
        </w:rPr>
      </w:pPr>
      <w:r>
        <w:rPr>
          <w:sz w:val="28"/>
        </w:rPr>
        <w:t>13. Критериями соответствия объектов инфраструктуры потребностям проекта являются:</w:t>
      </w:r>
    </w:p>
    <w:p w14:paraId="5D000000">
      <w:pPr>
        <w:widowControl w:val="0"/>
        <w:spacing w:before="0" w:line="240" w:lineRule="auto"/>
        <w:ind w:firstLine="709" w:left="0"/>
        <w:jc w:val="both"/>
        <w:rPr>
          <w:sz w:val="28"/>
        </w:rPr>
      </w:pPr>
      <w:r>
        <w:rPr>
          <w:sz w:val="28"/>
        </w:rPr>
        <w:t>а) объект инфраструк</w:t>
      </w:r>
      <w:r>
        <w:rPr>
          <w:sz w:val="28"/>
        </w:rPr>
        <w:t xml:space="preserve">туры создается полностью или частично для эксплуатации (использования) </w:t>
      </w:r>
      <w:r>
        <w:rPr>
          <w:sz w:val="28"/>
        </w:rPr>
        <w:t>основного объекта проекта (основных объектов проекта)</w:t>
      </w:r>
      <w:r>
        <w:rPr>
          <w:sz w:val="28"/>
        </w:rPr>
        <w:t>, и (или) обеспечения нового производства товаров (работ, услуг), и (или) увеличения объемов существующего производства товаров (работ, услуг), и (или) предотвращения (минимизации) негативного влияния на окружающую среду (в з</w:t>
      </w:r>
      <w:r>
        <w:rPr>
          <w:sz w:val="28"/>
        </w:rPr>
        <w:t>ависимости от цели проекта);</w:t>
      </w:r>
    </w:p>
    <w:p w14:paraId="5E000000">
      <w:pPr>
        <w:widowControl w:val="0"/>
        <w:spacing w:before="0" w:line="240" w:lineRule="auto"/>
        <w:ind w:firstLine="709" w:left="0"/>
        <w:jc w:val="both"/>
        <w:rPr>
          <w:sz w:val="28"/>
        </w:rPr>
      </w:pPr>
      <w:r>
        <w:rPr>
          <w:sz w:val="28"/>
        </w:rPr>
        <w:t>б) достижение заявленных показателей проекта невозможно без использования объекта инфраструктуры;</w:t>
      </w:r>
    </w:p>
    <w:p w14:paraId="5F000000">
      <w:pPr>
        <w:widowControl w:val="0"/>
        <w:spacing w:before="0" w:line="240" w:lineRule="auto"/>
        <w:ind w:firstLine="709" w:left="0"/>
        <w:jc w:val="both"/>
        <w:rPr>
          <w:sz w:val="28"/>
        </w:rPr>
      </w:pPr>
      <w:r>
        <w:rPr>
          <w:sz w:val="28"/>
        </w:rPr>
        <w:t>в) объект инфраструктуры используется работниками организации, реализующей проект, работниками органа (организации), эксплуатирующей</w:t>
      </w:r>
      <w:r>
        <w:rPr>
          <w:sz w:val="28"/>
        </w:rPr>
        <w:t xml:space="preserve"> (использующей) </w:t>
      </w:r>
      <w:r>
        <w:rPr>
          <w:sz w:val="28"/>
        </w:rPr>
        <w:t>основной объект проекта (основные объекты проекта)</w:t>
      </w:r>
      <w:r>
        <w:rPr>
          <w:sz w:val="28"/>
        </w:rPr>
        <w:t>, и (или) членами их семей (в отношении социальной инфраструктуры).</w:t>
      </w:r>
    </w:p>
    <w:p w14:paraId="60000000">
      <w:pPr>
        <w:widowControl w:val="0"/>
        <w:spacing w:before="0" w:line="240" w:lineRule="auto"/>
        <w:ind w:firstLine="709" w:left="0"/>
        <w:jc w:val="both"/>
        <w:rPr>
          <w:sz w:val="28"/>
        </w:rPr>
      </w:pPr>
      <w:r>
        <w:rPr>
          <w:sz w:val="28"/>
        </w:rPr>
        <w:t>При подтверждении соответствия объекта инфраструктуры потребностям проекта такой объект инфраструктуры должен соответствовать одному из критериев, установленных подпунктами «а» и «б» настоящего пункта. При подтверждении соответствия объекта социальной инфраструктуры потребностям проекта критерии, установленные подпунктами «а» и «б» настоящего пункта, могут не применяться.</w:t>
      </w:r>
    </w:p>
    <w:p w14:paraId="61000000">
      <w:pPr>
        <w:widowControl w:val="0"/>
        <w:spacing w:before="0" w:line="240" w:lineRule="auto"/>
        <w:ind w:firstLine="709" w:left="0"/>
        <w:jc w:val="both"/>
        <w:rPr>
          <w:sz w:val="28"/>
        </w:rPr>
      </w:pPr>
      <w:r>
        <w:rPr>
          <w:sz w:val="28"/>
        </w:rPr>
        <w:t>14. Процессы проектирования, строительства (реконструкции), ввода в эксплуатацию объектов сопутствующей инфраструктуры, отношения по созданию которых регулируются законодательством о градостроительной деятельности, должны обеспечивать последующую возможность оформить созданный объект инфраструктуры в качестве объекта гражданских прав в целях его передачи соответствующему публично-правовому образованию или регулируемой организации в соответствии с условиями соглашения о защите и поощрении капиталовложений.</w:t>
      </w:r>
    </w:p>
    <w:p w14:paraId="62000000">
      <w:pPr>
        <w:widowControl w:val="0"/>
        <w:spacing w:before="0" w:line="240" w:lineRule="auto"/>
        <w:ind w:firstLine="709" w:left="0"/>
        <w:jc w:val="both"/>
        <w:rPr>
          <w:sz w:val="28"/>
        </w:rPr>
      </w:pPr>
      <w:r>
        <w:rPr>
          <w:sz w:val="28"/>
        </w:rPr>
        <w:t>Особенности эксплуатации и (или) последующей передачи объектов сопутствующей инфраструктуры в государственную (муниципальную) собственность или в собственность регулируемой организации, затраты в отношении которых подлежат возмещению в соответствии с настоящим Порядком, устанавливаются договором (соглашением) между организацией, реализующей проект, и соответствующими публично-правовым образованием или регулируемой организацией, в собственность которого (которой) предполагается передача созданного объекта инфраструктуры для дальнейшей эксплуатации.</w:t>
      </w:r>
    </w:p>
    <w:p w14:paraId="63000000">
      <w:pPr>
        <w:widowControl w:val="0"/>
        <w:spacing w:before="0" w:line="240" w:lineRule="auto"/>
        <w:ind w:firstLine="709" w:left="0"/>
        <w:jc w:val="both"/>
        <w:rPr>
          <w:sz w:val="28"/>
        </w:rPr>
      </w:pPr>
      <w:r>
        <w:rPr>
          <w:sz w:val="28"/>
        </w:rPr>
        <w:t>Передача объектов сопутствующей инфраструктуры в государственную (муниципальную) собственность осуществляется на основании подписываемого сторонами акта приема-передачи.</w:t>
      </w:r>
    </w:p>
    <w:p w14:paraId="64000000">
      <w:pPr>
        <w:widowControl w:val="0"/>
        <w:spacing w:before="0" w:line="240" w:lineRule="auto"/>
        <w:ind w:firstLine="709" w:left="0"/>
        <w:jc w:val="both"/>
        <w:rPr>
          <w:sz w:val="28"/>
        </w:rPr>
      </w:pPr>
      <w:r>
        <w:rPr>
          <w:sz w:val="28"/>
        </w:rPr>
        <w:t>15. Возмещение затрат в отношении объектов сопутствующей инфраструктуры осуществляется при условии наличия в соглашении о предоставлении субсидии обязательства о передаче и принятии таких объектов в государственную (муниципальную) собственность или собственность регулируемой организации, за исключением случая, если реконструкции подлежали объекты сопутствующей инфраструктуры, находящиеся в государственной (муниципальной) собственности.</w:t>
      </w:r>
    </w:p>
    <w:p w14:paraId="65000000">
      <w:pPr>
        <w:widowControl w:val="0"/>
        <w:spacing w:before="0" w:line="240" w:lineRule="auto"/>
        <w:ind w:firstLine="709" w:left="0"/>
        <w:jc w:val="both"/>
        <w:rPr>
          <w:sz w:val="28"/>
        </w:rPr>
      </w:pPr>
      <w:r>
        <w:rPr>
          <w:sz w:val="28"/>
        </w:rPr>
        <w:t>Возмещение затрат на цели, предусмотренные пунктом 5 настоящего Порядка, осуществляется также в отношении объектов инфраструктуры, создаваемых регулируемыми организациями (в том числе включенных в инвестиционные программы регулируемых организаций), финансовое обеспечение создания которых осуществляется пол</w:t>
      </w:r>
      <w:r>
        <w:rPr>
          <w:sz w:val="28"/>
        </w:rPr>
        <w:t>ностью за счет средств организации, реализующей проект.</w:t>
      </w:r>
    </w:p>
    <w:p w14:paraId="66000000">
      <w:pPr>
        <w:widowControl w:val="0"/>
        <w:spacing w:before="0" w:line="240" w:lineRule="auto"/>
        <w:ind w:firstLine="709" w:left="0"/>
        <w:jc w:val="both"/>
        <w:rPr>
          <w:sz w:val="28"/>
        </w:rPr>
      </w:pPr>
      <w:r>
        <w:rPr>
          <w:sz w:val="28"/>
        </w:rPr>
        <w:t>16. Предельный объем возмещения затрат субсидии не может превышать:</w:t>
      </w:r>
    </w:p>
    <w:p w14:paraId="67000000">
      <w:pPr>
        <w:ind w:firstLine="709" w:left="0"/>
        <w:jc w:val="both"/>
        <w:rPr>
          <w:sz w:val="28"/>
        </w:rPr>
      </w:pPr>
      <w:r>
        <w:rPr>
          <w:sz w:val="28"/>
        </w:rPr>
        <w:t>50 процентов фактически понесенных организациями, реализующими проект, затрат:</w:t>
      </w:r>
    </w:p>
    <w:p w14:paraId="68000000">
      <w:pPr>
        <w:ind w:firstLine="709" w:left="0"/>
        <w:jc w:val="both"/>
        <w:rPr>
          <w:sz w:val="28"/>
        </w:rPr>
      </w:pPr>
      <w:r>
        <w:rPr>
          <w:sz w:val="28"/>
        </w:rPr>
        <w:t>на создание обеспечивающей инфраструктуры, необходимой для реализации проекта, в том числе на реконструкцию объектов инфраструктуры, находящихся в государственной (муниципальной) собственности или собственности регулируемых организаций (включая затраты на технологическое присоединение (примыкание) к инженерным и транспортным сетям);</w:t>
      </w:r>
    </w:p>
    <w:p w14:paraId="69000000">
      <w:pPr>
        <w:ind w:firstLine="709" w:left="0"/>
        <w:jc w:val="both"/>
        <w:rPr>
          <w:sz w:val="28"/>
        </w:rPr>
      </w:pPr>
      <w:r>
        <w:rPr>
          <w:sz w:val="28"/>
        </w:rPr>
        <w:t>на уплату процентов по кредитам и займам, купонного дохода по облигационным займам, привлеченным для создания обеспечивающей инфраструктуры, необходимой для реализации проекта, в том числе на реконструкцию объектов инфраструктуры, находящихся в государственной (муниципальной) собственности, если уплата таких процентов была осуществлена на инвестиционной стадии, при условии, что в отношении таких кредитов и займов, включая облигационные займы, не предоставляются меры прямой государственной поддержки;</w:t>
      </w:r>
    </w:p>
    <w:p w14:paraId="6A000000">
      <w:pPr>
        <w:ind w:firstLine="709" w:left="0"/>
        <w:jc w:val="both"/>
        <w:rPr>
          <w:sz w:val="28"/>
        </w:rPr>
      </w:pPr>
      <w:r>
        <w:rPr>
          <w:sz w:val="28"/>
        </w:rPr>
        <w:t>на уплату процентов по кредитам и займам, купонного дохода по облигационным займам, привлеченным для реализации проекта в части создания основного объекта проекта (основных объектов проекта), если уплата таких процентов была осуществлена на инвестиционной стадии, при условии, что в отношении таких кредитов и займов, включая облигационные займы, не предоставляются меры прямой государственной поддержки;</w:t>
      </w:r>
    </w:p>
    <w:p w14:paraId="6B000000">
      <w:pPr>
        <w:ind w:firstLine="709" w:left="0"/>
        <w:jc w:val="both"/>
        <w:rPr>
          <w:sz w:val="28"/>
        </w:rPr>
      </w:pPr>
      <w:r>
        <w:rPr>
          <w:sz w:val="28"/>
        </w:rPr>
        <w:t>100 процентов фактически понесенных организациями, реализующими проект, затрат:</w:t>
      </w:r>
    </w:p>
    <w:p w14:paraId="6C000000">
      <w:pPr>
        <w:ind w:firstLine="709" w:left="0"/>
        <w:jc w:val="both"/>
        <w:rPr>
          <w:sz w:val="28"/>
        </w:rPr>
      </w:pPr>
      <w:r>
        <w:rPr>
          <w:sz w:val="28"/>
        </w:rPr>
        <w:t>на создание сопутствующей инфраструктуры, необходимой для реализации проекта, в том числе на реконструкцию объектов инфраструктуры, находящихся в государственной (муниципальной) собственности или собственности регулируемых организаций (включая затраты на технологическое присоединение (примыкание) к инженерным и транспортным сетям);</w:t>
      </w:r>
    </w:p>
    <w:p w14:paraId="6D000000">
      <w:pPr>
        <w:ind w:firstLine="709" w:left="0"/>
        <w:jc w:val="both"/>
        <w:rPr>
          <w:sz w:val="28"/>
        </w:rPr>
      </w:pPr>
      <w:r>
        <w:rPr>
          <w:sz w:val="28"/>
        </w:rPr>
        <w:t>на уплату процентов по кредитам и займам, купонного дохода по облигационным займам, привлеченным для создания сопутствующей инфраструктуры, необходимой для реализации проекта, в том числе на реконструкцию объектов инфраструктуры, находящихся в государственной (муниципальной) собственности, если уплата таких процентов была осуществлена на инвестиционной стадии, при условии, что в отношении таких кредитов и займов, включая облигационные займы, не предоставляются меры прямой государственной поддержки;</w:t>
      </w:r>
    </w:p>
    <w:p w14:paraId="6E000000">
      <w:pPr>
        <w:ind w:firstLine="709" w:left="0"/>
        <w:jc w:val="both"/>
        <w:rPr>
          <w:sz w:val="28"/>
        </w:rPr>
      </w:pPr>
      <w:r>
        <w:rPr>
          <w:sz w:val="28"/>
        </w:rPr>
        <w:t>на демонтаж объектов, расположенных на территориях военных городков (в части жилищного строительства).</w:t>
      </w:r>
    </w:p>
    <w:p w14:paraId="6F000000">
      <w:pPr>
        <w:ind w:firstLine="709" w:left="0"/>
        <w:jc w:val="both"/>
        <w:rPr>
          <w:sz w:val="28"/>
        </w:rPr>
      </w:pPr>
      <w:r>
        <w:rPr>
          <w:sz w:val="28"/>
        </w:rPr>
        <w:t>При этом объем возмещения затрат, предоставленный с соблюдением предельных размеров, указанных в абзацах втором и шестом настоящего пункта, а также с учетом положений части 5 статьи 15 Федерального закона, не должен превышать нормативы возмещения затрат:</w:t>
      </w:r>
    </w:p>
    <w:p w14:paraId="70000000">
      <w:pPr>
        <w:ind w:firstLine="709" w:left="0"/>
        <w:jc w:val="both"/>
        <w:rPr>
          <w:sz w:val="28"/>
        </w:rPr>
      </w:pPr>
      <w:r>
        <w:rPr>
          <w:sz w:val="28"/>
        </w:rPr>
        <w:t>сметную стоимость создания объектов инфраструктуры, отношения по созданию которых регулируются законодательством о градостроительной деятельности, подтвержденную положительным заключением о проведении государственной экспертизы проектной документации и проверки достоверности определения сметной стоимости объектов инфраструктуры с учетом прогноза индексов-дефляторов, установленных Министерством экономического развития Российской Федерации на период создания объектов инфраструктуры, в случае возмещения затрат, указанных в пункте 1 части 1 статьи 15 Федерального закона;</w:t>
      </w:r>
    </w:p>
    <w:p w14:paraId="71000000">
      <w:pPr>
        <w:ind w:firstLine="709" w:left="0"/>
        <w:jc w:val="both"/>
        <w:rPr>
          <w:sz w:val="28"/>
        </w:rPr>
      </w:pPr>
      <w:r>
        <w:rPr>
          <w:sz w:val="28"/>
        </w:rPr>
        <w:t>двух третьих ключевой ставки Центрального банка Российской Федерации, действующей на дату уплаты процентов по кредиту и займу, в случае возмещения затрат, указанных в пунктах 2 и 3 части 1 статьи 15 Федерального закона;</w:t>
      </w:r>
    </w:p>
    <w:p w14:paraId="72000000">
      <w:pPr>
        <w:ind w:firstLine="709" w:left="0"/>
        <w:jc w:val="both"/>
        <w:rPr>
          <w:sz w:val="28"/>
        </w:rPr>
      </w:pPr>
      <w:r>
        <w:rPr>
          <w:sz w:val="28"/>
        </w:rPr>
        <w:t xml:space="preserve">70 процентов базового индикатора, определяемого в соответствии с постановлением Правительства Российской Федерации от 20.07.2016 </w:t>
      </w:r>
      <w:r>
        <w:br/>
      </w:r>
      <w:r>
        <w:rPr>
          <w:sz w:val="28"/>
        </w:rPr>
        <w:t>№ 702 «О применении базовых индикаторов при расчете параметров субсидирования процентной ставки за счет средств федерального бюджета по кредитам, облигационным займам и (или) договорам лизинга в зависимости от сроков кредитования, а также определении предельного уровня конечной ставки кредитования, при превышении которого субсидирование процентной ставки не осуществляется», при возмещении затрат на выплату купонного дохода по облигационным займам, но не более предельного уровня конечной ставки кредитования, рассчитанного в соответствии с указанным постановлением, в случае возмещения затрат, указанных в пунктах 2 и 3 части 1 статьи 15 Федерального закона;</w:t>
      </w:r>
    </w:p>
    <w:p w14:paraId="73000000">
      <w:pPr>
        <w:ind w:firstLine="709" w:left="0"/>
        <w:jc w:val="both"/>
        <w:rPr>
          <w:sz w:val="28"/>
        </w:rPr>
      </w:pPr>
      <w:r>
        <w:rPr>
          <w:sz w:val="28"/>
        </w:rPr>
        <w:t>размер платы за технологическое присоединение к сетям инженерно-технического обеспечения по договорам, цена которых установлена соответствующим федеральным органом исполнительной власти в области государственного регулирования тарифов или исполнительным органом субъекта Российской Федерации в области государственного регулирования тарифов, или определенный на основании утвержденных такими органами стандартизированных тарифных ставок, а в случае отсутствия утвержденных тарифов - размер платы за технологическое присоединение в соответствии с заключенным договором на подключение (технологическое присоединение) в случае возмещения затрат, указанных в пункте 1 части 1 статьи 15 Федерального закона;</w:t>
      </w:r>
    </w:p>
    <w:p w14:paraId="74000000">
      <w:pPr>
        <w:ind w:firstLine="709" w:left="0"/>
        <w:jc w:val="both"/>
        <w:rPr>
          <w:sz w:val="28"/>
        </w:rPr>
      </w:pPr>
      <w:r>
        <w:rPr>
          <w:sz w:val="28"/>
        </w:rPr>
        <w:t>размер платы за подключение (технологическое присоединение, примыкание) к инфраструктуре субъектов естественных монополий, транспортным сетям в соответствии с заключенными договорами на такое подключение (технологическое присоединение, примыкание) в случае возмещения затрат, указанных в пункте 1 части 1 статьи 15 Федерального закона;</w:t>
      </w:r>
    </w:p>
    <w:p w14:paraId="75000000">
      <w:pPr>
        <w:ind w:firstLine="709" w:left="0"/>
        <w:jc w:val="both"/>
        <w:rPr>
          <w:sz w:val="28"/>
        </w:rPr>
      </w:pPr>
      <w:r>
        <w:rPr>
          <w:sz w:val="28"/>
        </w:rPr>
        <w:t>сметную стоимость создания объектов инфраструктуры, отношения по созданию которых регулируются законодательством Российской Федерации (в том числе законодательством Российской Федерации в соответствующей от</w:t>
      </w:r>
      <w:r>
        <w:rPr>
          <w:sz w:val="28"/>
        </w:rPr>
        <w:t>расли экономики), за исключением законодательства о градостроительной деятельности, в случае возмещения затрат, указанных в пункте 2 части 1 статьи 15 Федерального закона.</w:t>
      </w:r>
    </w:p>
    <w:p w14:paraId="76000000">
      <w:pPr>
        <w:ind w:firstLine="709" w:left="0"/>
        <w:jc w:val="both"/>
        <w:rPr>
          <w:sz w:val="28"/>
        </w:rPr>
      </w:pPr>
      <w:r>
        <w:rPr>
          <w:sz w:val="28"/>
        </w:rPr>
        <w:t>Объем возмещения затрат, указанных в части 1 статьи 15 Федерального закона, подлежащий предоставлению организации, реализующей проект, определяется согласно приложению к настоящему Порядку.</w:t>
      </w:r>
    </w:p>
    <w:p w14:paraId="77000000">
      <w:pPr>
        <w:widowControl w:val="0"/>
        <w:spacing w:before="0" w:line="240" w:lineRule="auto"/>
        <w:ind w:firstLine="709" w:left="0"/>
        <w:jc w:val="both"/>
        <w:rPr>
          <w:sz w:val="28"/>
        </w:rPr>
      </w:pPr>
      <w:r>
        <w:rPr>
          <w:sz w:val="28"/>
        </w:rPr>
        <w:t xml:space="preserve">17. </w:t>
      </w:r>
      <w:r>
        <w:rPr>
          <w:sz w:val="28"/>
        </w:rPr>
        <w:t xml:space="preserve">Размер субсидии </w:t>
      </w:r>
      <w:r>
        <w:rPr>
          <w:sz w:val="28"/>
        </w:rPr>
        <w:t>подлежит уменьшению на объем средств, полученных из бюджетов бюджетной системы Российской Федерации в случае предоставления мер прямой государственной поддержки в отношении проекта, а также в случае возмещения причиненного организации, реализующей проект, реального ущерба, указанного в части 3 статьи 12 Федерального закона, в отношении проекта, по которому заключено соглашение о защите и поощрении капиталовложений.</w:t>
      </w:r>
    </w:p>
    <w:p w14:paraId="78000000">
      <w:pPr>
        <w:widowControl w:val="0"/>
        <w:spacing w:before="0" w:line="240" w:lineRule="auto"/>
        <w:ind w:firstLine="709" w:left="0"/>
        <w:jc w:val="both"/>
        <w:rPr>
          <w:sz w:val="28"/>
        </w:rPr>
      </w:pPr>
      <w:r>
        <w:rPr>
          <w:sz w:val="28"/>
        </w:rPr>
        <w:t>18. Проект должен соответствовать следующим требованиям:</w:t>
      </w:r>
    </w:p>
    <w:p w14:paraId="79000000">
      <w:pPr>
        <w:widowControl w:val="0"/>
        <w:spacing w:before="0" w:line="240" w:lineRule="auto"/>
        <w:ind w:firstLine="709" w:left="0"/>
        <w:jc w:val="both"/>
        <w:rPr>
          <w:sz w:val="28"/>
        </w:rPr>
      </w:pPr>
      <w:r>
        <w:rPr>
          <w:sz w:val="28"/>
        </w:rPr>
        <w:t>а) определен перечень объектов инфраструктуры с отнесением их к обеспечивающей или сопутствующей инфраструктуре в соответствии с пунктом 12 настоящег</w:t>
      </w:r>
      <w:r>
        <w:rPr>
          <w:sz w:val="28"/>
        </w:rPr>
        <w:t>о Порядка:</w:t>
      </w:r>
    </w:p>
    <w:p w14:paraId="7A000000">
      <w:pPr>
        <w:widowControl w:val="0"/>
        <w:spacing w:before="0" w:line="240" w:lineRule="auto"/>
        <w:ind w:firstLine="709" w:left="0"/>
        <w:jc w:val="both"/>
        <w:rPr>
          <w:sz w:val="28"/>
        </w:rPr>
      </w:pPr>
      <w:r>
        <w:rPr>
          <w:sz w:val="28"/>
        </w:rPr>
        <w:t>подтверждено соответствие объектов инфраструктуры потребностям инвестиционного проекта, определенным пунктом 13 настоящего Порядка;</w:t>
      </w:r>
    </w:p>
    <w:p w14:paraId="7B000000">
      <w:pPr>
        <w:widowControl w:val="0"/>
        <w:spacing w:before="0" w:line="240" w:lineRule="auto"/>
        <w:ind w:firstLine="709" w:left="0"/>
        <w:jc w:val="both"/>
        <w:rPr>
          <w:sz w:val="28"/>
        </w:rPr>
      </w:pPr>
      <w:r>
        <w:rPr>
          <w:sz w:val="28"/>
        </w:rPr>
        <w:t>определен конечный балансодержатель созданных объектов инфраструктуры;</w:t>
      </w:r>
    </w:p>
    <w:p w14:paraId="7C000000">
      <w:pPr>
        <w:widowControl w:val="0"/>
        <w:spacing w:before="0" w:line="240" w:lineRule="auto"/>
        <w:ind w:firstLine="709" w:left="0"/>
        <w:jc w:val="both"/>
        <w:rPr>
          <w:sz w:val="28"/>
        </w:rPr>
      </w:pPr>
      <w:r>
        <w:rPr>
          <w:sz w:val="28"/>
        </w:rPr>
        <w:t>б) осуществлена государственная регистрация имущественных прав на все основные объекты проекта (в применимых случаях - и на объекты инфраструктуры проекта);</w:t>
      </w:r>
    </w:p>
    <w:p w14:paraId="7D000000">
      <w:pPr>
        <w:widowControl w:val="0"/>
        <w:spacing w:before="0" w:line="240" w:lineRule="auto"/>
        <w:ind w:firstLine="709" w:left="0"/>
        <w:jc w:val="both"/>
        <w:rPr>
          <w:sz w:val="28"/>
        </w:rPr>
      </w:pPr>
      <w:r>
        <w:rPr>
          <w:sz w:val="28"/>
        </w:rPr>
        <w:t>в) все основные объекты проекта введены в эксплуатацию в соответствии с законодательством Российской Федерации (если объект инфраструктуры остается в эксплуатации организации, реализующей проект, или регулируемой организации - также подтвержденный факт вво</w:t>
      </w:r>
      <w:r>
        <w:rPr>
          <w:sz w:val="28"/>
        </w:rPr>
        <w:t>да в эксплуатацию объектов инфраструктуры);</w:t>
      </w:r>
    </w:p>
    <w:p w14:paraId="7E000000">
      <w:pPr>
        <w:widowControl w:val="0"/>
        <w:spacing w:before="0" w:line="240" w:lineRule="auto"/>
        <w:ind w:firstLine="709" w:left="0"/>
        <w:jc w:val="both"/>
        <w:rPr>
          <w:sz w:val="28"/>
        </w:rPr>
      </w:pPr>
      <w:r>
        <w:rPr>
          <w:sz w:val="28"/>
        </w:rPr>
        <w:t xml:space="preserve">г) объекты инфраструктуры проекта переданы </w:t>
      </w:r>
      <w:r>
        <w:rPr>
          <w:sz w:val="28"/>
        </w:rPr>
        <w:t>на баланс регулируемой организации или публично-правового образования (в применимых случаях)</w:t>
      </w:r>
      <w:r>
        <w:rPr>
          <w:sz w:val="28"/>
        </w:rPr>
        <w:t>;</w:t>
      </w:r>
    </w:p>
    <w:p w14:paraId="7F000000">
      <w:pPr>
        <w:widowControl w:val="0"/>
        <w:spacing w:before="0" w:line="240" w:lineRule="auto"/>
        <w:ind w:firstLine="709" w:left="0"/>
        <w:jc w:val="both"/>
        <w:rPr>
          <w:sz w:val="28"/>
        </w:rPr>
      </w:pPr>
      <w:r>
        <w:rPr>
          <w:sz w:val="28"/>
        </w:rPr>
        <w:t>д) подтверждено осуществление затрат организацией, реализующей проект, в полном объеме на цели, указанные в пункте 5 настоящего Порядк</w:t>
      </w:r>
      <w:r>
        <w:rPr>
          <w:sz w:val="28"/>
        </w:rPr>
        <w:t>а;</w:t>
      </w:r>
    </w:p>
    <w:p w14:paraId="80000000">
      <w:pPr>
        <w:widowControl w:val="0"/>
        <w:spacing w:before="0" w:line="240" w:lineRule="auto"/>
        <w:ind w:firstLine="709" w:left="0"/>
        <w:jc w:val="both"/>
        <w:rPr>
          <w:sz w:val="28"/>
        </w:rPr>
      </w:pPr>
      <w:r>
        <w:rPr>
          <w:sz w:val="28"/>
        </w:rPr>
        <w:t>е) соблюдены нормативы возмещения затрат (предельного объема расходов областного бюджета на возмещение затрат);</w:t>
      </w:r>
    </w:p>
    <w:p w14:paraId="81000000">
      <w:pPr>
        <w:widowControl w:val="0"/>
        <w:spacing w:before="0" w:line="240" w:lineRule="auto"/>
        <w:ind w:firstLine="709" w:left="0"/>
        <w:jc w:val="both"/>
        <w:rPr>
          <w:sz w:val="28"/>
        </w:rPr>
      </w:pPr>
      <w:r>
        <w:rPr>
          <w:sz w:val="28"/>
        </w:rPr>
        <w:t>ж) подтверждено отсутствие в инвестиционных программах регулируемых организаций (за исключением случая создания объекта инфраструктуры, включенного в инвестиционную программу регулируемой организации, финансовое обеспечение которого полностью или частично осуществляется за счет средств организации, реализующей проект) и (или) в применимых случаях в программах перспективного развития отдельных отраслей экономики проектов создания объектов инфраструктуры, затраты в отношении которых подлежат возмещению;</w:t>
      </w:r>
    </w:p>
    <w:p w14:paraId="82000000">
      <w:pPr>
        <w:widowControl w:val="0"/>
        <w:spacing w:before="0" w:line="240" w:lineRule="auto"/>
        <w:ind w:firstLine="709" w:left="0"/>
        <w:jc w:val="both"/>
        <w:rPr>
          <w:sz w:val="28"/>
        </w:rPr>
      </w:pPr>
      <w:r>
        <w:rPr>
          <w:sz w:val="28"/>
        </w:rPr>
        <w:t>з) подтверждено наличие источников финансового обеспечения затрат муниципального образования Ивановской области (или Ивановской области) на обслуживание, содержание, эксплуатацию (с возможностью ликвидации) объектов сопутствующей инфраструктуры, создаваемой в рамках реализации проекта, передаваемых в государственную (муниципальную) собственность или поступающих в собственность регулируемой организации, в соответствии с частью 18 статьи 15 Федерального закона путем проверки наличия средств муниципального бюджета (областного бюджета) на обслуживание, содержание, эксплуатацию (с возможностью ликвидации) объектов сопутствующей инфраструктуры (в случае применимости), подтверждена готовность балансодержателя принять на баланс созданный объект инфраструктуры (в случае применимости);</w:t>
      </w:r>
    </w:p>
    <w:p w14:paraId="83000000">
      <w:pPr>
        <w:widowControl w:val="0"/>
        <w:spacing w:before="0" w:line="240" w:lineRule="auto"/>
        <w:ind w:firstLine="709" w:left="0"/>
        <w:jc w:val="both"/>
        <w:rPr>
          <w:sz w:val="28"/>
        </w:rPr>
      </w:pPr>
      <w:r>
        <w:rPr>
          <w:sz w:val="28"/>
        </w:rPr>
        <w:t>и) в случае создания объекта инфраструктуры, включенного в инвестиционную программу регулируемой организации, финансовое обеспечение которого полностью или частично осуществляется за счет средств организации, реализующей проект, подтверждено включение такого объекта инфраструктуры в инвестиционную программу регулируемой организации, проведена проверка финансового обеспечения создания объекта инфраструктуры полностью за счет средств организации, реализующей проект;</w:t>
      </w:r>
    </w:p>
    <w:p w14:paraId="84000000">
      <w:pPr>
        <w:widowControl w:val="0"/>
        <w:spacing w:before="0" w:line="240" w:lineRule="auto"/>
        <w:ind w:firstLine="709" w:left="0"/>
        <w:jc w:val="both"/>
        <w:rPr>
          <w:sz w:val="28"/>
        </w:rPr>
      </w:pPr>
      <w:r>
        <w:rPr>
          <w:sz w:val="28"/>
        </w:rPr>
        <w:t xml:space="preserve">к) представлены </w:t>
      </w:r>
      <w:r>
        <w:rPr>
          <w:sz w:val="28"/>
        </w:rPr>
        <w:t>положительные заключения о проведении государственной экспертизы проектной документации и проверки достоверности определения сметной стоимости объектов проекта, и (или) объектов инфраструктуры, и (или) демонтажа объектов, расположенных на территориях военных городков (в части жилищного строительства);</w:t>
      </w:r>
    </w:p>
    <w:p w14:paraId="85000000">
      <w:pPr>
        <w:widowControl w:val="0"/>
        <w:spacing w:before="0" w:line="240" w:lineRule="auto"/>
        <w:ind w:firstLine="709" w:left="0"/>
        <w:jc w:val="both"/>
        <w:rPr>
          <w:sz w:val="28"/>
        </w:rPr>
      </w:pPr>
      <w:r>
        <w:rPr>
          <w:sz w:val="28"/>
        </w:rPr>
        <w:t>л) п</w:t>
      </w:r>
      <w:r>
        <w:rPr>
          <w:sz w:val="28"/>
        </w:rPr>
        <w:t xml:space="preserve">редставлены </w:t>
      </w:r>
      <w:r>
        <w:rPr>
          <w:sz w:val="28"/>
        </w:rPr>
        <w:t>положительные заключения о проведении технологического аудита объектов недвижимости и линейных объектов, созданных (построенных) либо реконструированных в рамках проекта, затраты в отношении которых планируется возместить в соответствии с пунктом 10 настоящего Порядка, выданного государственным (бюджетным или автономным) учреждением, подведомственным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строительства, уполномоченным на проведение государственной экспертизы проектной документации и результатов инженерных изысканий, в порядке, установленном приложением № 1(1) к Правилам;</w:t>
      </w:r>
    </w:p>
    <w:p w14:paraId="86000000">
      <w:pPr>
        <w:widowControl w:val="0"/>
        <w:spacing w:before="0" w:line="240" w:lineRule="auto"/>
        <w:ind w:firstLine="709" w:left="0"/>
        <w:jc w:val="both"/>
        <w:rPr>
          <w:sz w:val="28"/>
        </w:rPr>
      </w:pPr>
      <w:r>
        <w:rPr>
          <w:sz w:val="28"/>
        </w:rPr>
        <w:t>м) представлено положительное заключение о проведении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14:paraId="87000000">
      <w:pPr>
        <w:widowControl w:val="0"/>
        <w:spacing w:before="0" w:line="240" w:lineRule="auto"/>
        <w:ind w:firstLine="709" w:left="0"/>
        <w:jc w:val="both"/>
        <w:rPr>
          <w:sz w:val="28"/>
        </w:rPr>
      </w:pPr>
      <w:r>
        <w:rPr>
          <w:sz w:val="28"/>
        </w:rPr>
        <w:t>н) представлено заключение федерального органа исполнительной власти, осуществляющего функции по контролю и надзору в области налогов и сборов, о не выявленных (выявленных) при проведении налогового контроля фактах искажения организацией, реализующей проект, размеров фактически понесенных затрат, предусмотренных пунктом 10 настоящего Порядка, а также об отсутствии (о наличии) неисполненных мотивированных мнений, вынесенных федеральным органом исполнительной власти, осуществляющим функции по контролю и надзору в области налогов и сборов, в отношении организации, реализующей проект, в рамках налогового мониторинга по вопросам прав</w:t>
      </w:r>
      <w:r>
        <w:rPr>
          <w:sz w:val="28"/>
        </w:rPr>
        <w:t xml:space="preserve">ильности определения размеров фактически понесенных затрат, </w:t>
      </w:r>
      <w:r>
        <w:rPr>
          <w:sz w:val="28"/>
        </w:rPr>
        <w:t>предусмотренных пунктом 10 настоящего Порядка;</w:t>
      </w:r>
    </w:p>
    <w:p w14:paraId="88000000">
      <w:pPr>
        <w:ind w:firstLine="709" w:left="0"/>
        <w:jc w:val="both"/>
        <w:rPr>
          <w:sz w:val="28"/>
        </w:rPr>
      </w:pPr>
      <w:r>
        <w:rPr>
          <w:sz w:val="28"/>
        </w:rPr>
        <w:t xml:space="preserve">о) представлено заключение Федерального казначейства о фактически понесенных затратах, </w:t>
      </w:r>
      <w:r>
        <w:rPr>
          <w:sz w:val="28"/>
        </w:rPr>
        <w:t>предусмотренных пунктом 10 настоящего Порядка</w:t>
      </w:r>
      <w:r>
        <w:rPr>
          <w:sz w:val="28"/>
        </w:rPr>
        <w:t>;</w:t>
      </w:r>
    </w:p>
    <w:p w14:paraId="89000000">
      <w:pPr>
        <w:widowControl w:val="0"/>
        <w:spacing w:before="0" w:line="240" w:lineRule="auto"/>
        <w:ind w:firstLine="709" w:left="0"/>
        <w:jc w:val="both"/>
        <w:rPr>
          <w:sz w:val="28"/>
        </w:rPr>
      </w:pPr>
      <w:r>
        <w:rPr>
          <w:sz w:val="28"/>
        </w:rPr>
        <w:t>п) выполнены условия, предусмотренные пунктом 8.3 статьи 78 Бюджетн</w:t>
      </w:r>
      <w:r>
        <w:rPr>
          <w:sz w:val="28"/>
        </w:rPr>
        <w:t>ого кодекса Российской Федерации.</w:t>
      </w:r>
    </w:p>
    <w:p w14:paraId="8A000000">
      <w:pPr>
        <w:widowControl w:val="0"/>
        <w:spacing w:before="0" w:line="240" w:lineRule="auto"/>
        <w:ind w:firstLine="709" w:left="0"/>
        <w:jc w:val="both"/>
        <w:rPr>
          <w:sz w:val="28"/>
        </w:rPr>
      </w:pPr>
      <w:r>
        <w:rPr>
          <w:sz w:val="28"/>
        </w:rPr>
        <w:t xml:space="preserve">19. </w:t>
      </w:r>
      <w:r>
        <w:rPr>
          <w:sz w:val="28"/>
        </w:rPr>
        <w:t>В целя</w:t>
      </w:r>
      <w:r>
        <w:rPr>
          <w:sz w:val="28"/>
        </w:rPr>
        <w:t xml:space="preserve">х возмещения затрат организация, реализующая проект, не позднее 3 лет со дня, когда все имущественные права, возникшие в рамках реализации проекта и подлежащие государственной регистрации, зарегистрированы в соответствии с законодательством Российской Федерации, в том числе осуществлена государственная регистрация результатов интеллектуальной деятельности и (или) приравненных к ним средств индивидуализации (если применимо), и все объекты недвижимого имущества созданы (построены) либо реконструированы, если проектом, в том числе отдельным этапом реализации проекта, предполагается создание (строительство) либо реконструкция объектов недвижимого имущества, и введены в эксплуатацию в соответствии с законодательством Российской Федерации в сроки, определяемые в соответствии с соглашением о защите и поощрении капиталовложений, при соблюдении условий, предусмотренных частями 9 - 11 статьи 15 Федерального закона, до 1 апреля года, предшествующего году предоставления субсидии, представляет в </w:t>
      </w:r>
      <w:r>
        <w:rPr>
          <w:sz w:val="28"/>
        </w:rPr>
        <w:t>уполномоченный орган (в зависимости</w:t>
      </w:r>
      <w:r>
        <w:rPr>
          <w:sz w:val="28"/>
        </w:rPr>
        <w:t xml:space="preserve"> от вида объекта проекта)</w:t>
      </w:r>
      <w:r>
        <w:rPr>
          <w:sz w:val="28"/>
        </w:rPr>
        <w:t xml:space="preserve"> следующие документы:</w:t>
      </w:r>
    </w:p>
    <w:p w14:paraId="8B000000">
      <w:pPr>
        <w:widowControl w:val="0"/>
        <w:spacing w:before="0" w:line="240" w:lineRule="auto"/>
        <w:ind w:firstLine="709" w:left="0"/>
        <w:jc w:val="both"/>
        <w:rPr>
          <w:sz w:val="28"/>
        </w:rPr>
      </w:pPr>
      <w:r>
        <w:rPr>
          <w:sz w:val="28"/>
        </w:rPr>
        <w:t>а)</w:t>
      </w:r>
      <w:r>
        <w:rPr>
          <w:sz w:val="28"/>
        </w:rPr>
        <w:t xml:space="preserve"> </w:t>
      </w:r>
      <w:r>
        <w:rPr>
          <w:sz w:val="28"/>
        </w:rPr>
        <w:t>в случае возмещения затрат на создание объектов инфраструктуры, в том числе на реконструкцию объектов инфраструктур</w:t>
      </w:r>
      <w:r>
        <w:rPr>
          <w:sz w:val="28"/>
        </w:rPr>
        <w:t xml:space="preserve">ы, находящихся в государственной (муниципальной) собственности или собственности регулируемых организаций (включая </w:t>
      </w:r>
      <w:r>
        <w:rPr>
          <w:sz w:val="28"/>
        </w:rPr>
        <w:t>затраты на технологическое присоединение (примыкание) к инженерным и транспортным сетям):</w:t>
      </w:r>
    </w:p>
    <w:p w14:paraId="8C000000">
      <w:pPr>
        <w:spacing w:before="0" w:line="240" w:lineRule="auto"/>
        <w:ind w:firstLine="709" w:left="0"/>
        <w:jc w:val="both"/>
        <w:rPr>
          <w:sz w:val="28"/>
        </w:rPr>
      </w:pPr>
      <w:r>
        <w:rPr>
          <w:sz w:val="28"/>
        </w:rPr>
        <w:t xml:space="preserve">сведения о соответствии созданных объектов инфраструктуры потребностям проекта (в свободной форме) с указанием объектов инфраструктуры, затраты на которые планируется возместить, с отнесением их к обеспечивающей или сопутствующей инфраструктуре, указанием конечного балансодержателя объекта инфраструктуры, предполагаемой даты начала возмещения затрат, прогнозируемой общей </w:t>
      </w:r>
      <w:r>
        <w:rPr>
          <w:sz w:val="28"/>
        </w:rPr>
        <w:t>суммы затрат, подлежащих возмещению, с разбивкой по годам на планируемый срок возмещени</w:t>
      </w:r>
      <w:r>
        <w:rPr>
          <w:sz w:val="28"/>
        </w:rPr>
        <w:t>я затрат;</w:t>
      </w:r>
    </w:p>
    <w:p w14:paraId="8D000000">
      <w:pPr>
        <w:spacing w:before="0" w:line="240" w:lineRule="auto"/>
        <w:ind w:firstLine="709" w:left="0"/>
        <w:jc w:val="both"/>
        <w:rPr>
          <w:sz w:val="28"/>
        </w:rPr>
      </w:pPr>
      <w:r>
        <w:rPr>
          <w:sz w:val="28"/>
        </w:rPr>
        <w:t>паспорт объекта инфраструктуры с указанием места расположения, наименования объекта инфраструктуры, площади объекта инфраструктуры, фактической стоимости объекта инфраструктуры, его мощности (при наличии) (по усмотрению организации, реализующей проект, могут</w:t>
      </w:r>
      <w:r>
        <w:rPr>
          <w:sz w:val="28"/>
        </w:rPr>
        <w:t xml:space="preserve"> быть указаны иные параметры (показатели) созданного </w:t>
      </w:r>
      <w:r>
        <w:rPr>
          <w:sz w:val="28"/>
        </w:rPr>
        <w:t>об</w:t>
      </w:r>
      <w:r>
        <w:rPr>
          <w:sz w:val="28"/>
        </w:rPr>
        <w:t xml:space="preserve">ъекта инфраструктуры). </w:t>
      </w:r>
      <w:r>
        <w:rPr>
          <w:sz w:val="28"/>
        </w:rPr>
        <w:t>Форму паспорта объекта инфраструктуры утверждает Министерство экономического развития Российской Федерации</w:t>
      </w:r>
      <w:r>
        <w:rPr>
          <w:sz w:val="28"/>
        </w:rPr>
        <w:t>;</w:t>
      </w:r>
    </w:p>
    <w:p w14:paraId="8E000000">
      <w:pPr>
        <w:spacing w:before="0" w:line="240" w:lineRule="auto"/>
        <w:ind w:firstLine="709" w:left="0"/>
        <w:jc w:val="both"/>
        <w:rPr>
          <w:sz w:val="28"/>
        </w:rPr>
      </w:pPr>
      <w:r>
        <w:rPr>
          <w:sz w:val="28"/>
        </w:rPr>
        <w:t>расчет объема возмещения затрат, указанных в части 1 статьи 15 Федерального закона, составленный по форме, предусмотренной приложением к настоящему Порядку;</w:t>
      </w:r>
    </w:p>
    <w:p w14:paraId="8F000000">
      <w:pPr>
        <w:spacing w:before="0" w:line="240" w:lineRule="auto"/>
        <w:ind w:firstLine="709" w:left="0"/>
        <w:jc w:val="both"/>
        <w:rPr>
          <w:sz w:val="28"/>
        </w:rPr>
      </w:pPr>
      <w:r>
        <w:rPr>
          <w:sz w:val="28"/>
        </w:rPr>
        <w:t>сведения о сметной стоимости объектов инфраструктуры, в том числе по каждому объекту инфраструкту</w:t>
      </w:r>
      <w:r>
        <w:rPr>
          <w:sz w:val="28"/>
        </w:rPr>
        <w:t>ры, отношения по созданию которых регулируются законодательством о градостроительной деятельности, положительные заключения о проведении государственной экспертизы проектной документации объектов инфраструктуры и проверки достоверн</w:t>
      </w:r>
      <w:r>
        <w:rPr>
          <w:sz w:val="28"/>
        </w:rPr>
        <w:t>ости определения их сметной стоимости, в том числе по каждому объекту инфраструктуры (в случае создания объекта инфраструктуры в соответствии с частью 20 статьи 15 Федерального закона представление документов не требуется);</w:t>
      </w:r>
    </w:p>
    <w:p w14:paraId="90000000">
      <w:pPr>
        <w:widowControl w:val="0"/>
        <w:spacing w:before="0" w:line="240" w:lineRule="auto"/>
        <w:ind w:firstLine="709" w:left="0"/>
        <w:jc w:val="both"/>
        <w:rPr>
          <w:sz w:val="28"/>
        </w:rPr>
      </w:pPr>
      <w:r>
        <w:rPr>
          <w:sz w:val="28"/>
        </w:rPr>
        <w:t>положительные заключен</w:t>
      </w:r>
      <w:r>
        <w:rPr>
          <w:sz w:val="28"/>
        </w:rPr>
        <w:t>ия о проведении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14:paraId="91000000">
      <w:pPr>
        <w:spacing w:before="0" w:line="240" w:lineRule="auto"/>
        <w:ind w:firstLine="709" w:left="0"/>
        <w:jc w:val="both"/>
        <w:rPr>
          <w:sz w:val="28"/>
        </w:rPr>
      </w:pPr>
      <w:r>
        <w:rPr>
          <w:sz w:val="28"/>
        </w:rPr>
        <w:t>положительное заключение о проведении технологического аудита;</w:t>
      </w:r>
    </w:p>
    <w:p w14:paraId="92000000">
      <w:pPr>
        <w:spacing w:before="0" w:line="240" w:lineRule="auto"/>
        <w:ind w:firstLine="709" w:left="0"/>
        <w:jc w:val="both"/>
        <w:rPr>
          <w:sz w:val="28"/>
        </w:rPr>
      </w:pPr>
      <w:r>
        <w:rPr>
          <w:sz w:val="28"/>
        </w:rPr>
        <w:t>копия договора о комплексном развитии территории (если применимо);</w:t>
      </w:r>
    </w:p>
    <w:p w14:paraId="93000000">
      <w:pPr>
        <w:spacing w:before="0" w:line="240" w:lineRule="auto"/>
        <w:ind w:firstLine="709" w:left="0"/>
        <w:jc w:val="both"/>
        <w:rPr>
          <w:sz w:val="28"/>
        </w:rPr>
      </w:pPr>
      <w:r>
        <w:rPr>
          <w:sz w:val="28"/>
        </w:rPr>
        <w:t>сведения о реализации жилых помещений, осуществляемой организацией, реализующей проект, по цене, определенной исходя из произведения средней рыночной стоимости одного квадратного метра, утвержденной Министерством строительства и жилищно-коммунального хозяйства Российской Федерации, и общей площади таких помещений, уменьшенной на сумму планируемых к возмещению затрат (если применимо);</w:t>
      </w:r>
    </w:p>
    <w:p w14:paraId="94000000">
      <w:pPr>
        <w:widowControl w:val="0"/>
        <w:spacing w:before="0" w:line="240" w:lineRule="auto"/>
        <w:ind w:firstLine="709" w:left="0"/>
        <w:jc w:val="both"/>
        <w:rPr>
          <w:sz w:val="28"/>
        </w:rPr>
      </w:pPr>
      <w:r>
        <w:rPr>
          <w:sz w:val="28"/>
        </w:rPr>
        <w:t>договоры о технологическом присоединении к сетям электро-, и (или) газо-, и (или) тепло-, и (или) водоснабжения и (или) водоотведения, транспортным сетям с указанием стоимости и сроков выполнения работ (при наличии);</w:t>
      </w:r>
    </w:p>
    <w:p w14:paraId="95000000">
      <w:pPr>
        <w:spacing w:before="0" w:line="240" w:lineRule="auto"/>
        <w:ind w:firstLine="709" w:left="0"/>
        <w:jc w:val="both"/>
        <w:rPr>
          <w:sz w:val="28"/>
        </w:rPr>
      </w:pPr>
      <w:r>
        <w:rPr>
          <w:sz w:val="28"/>
        </w:rPr>
        <w:t>сведения о прогнозируемом объеме сумм налогов и обязательных платежей, подлежащих уплате в бюджеты публично-правовых образований, каждое из которых является стороной федерального соглашения о защите и поощрении капиталовложений, в связи с реализацией проекта (с разбивкой по видам налогов и обязательных платежей, по годам и по бюджетам бюджетной системы Российской Федерации на планируемый срок возмещения затрат);</w:t>
      </w:r>
    </w:p>
    <w:p w14:paraId="96000000">
      <w:pPr>
        <w:spacing w:before="0" w:line="240" w:lineRule="auto"/>
        <w:ind w:firstLine="709" w:left="0"/>
        <w:jc w:val="both"/>
        <w:rPr>
          <w:sz w:val="28"/>
        </w:rPr>
      </w:pPr>
      <w:r>
        <w:rPr>
          <w:sz w:val="28"/>
        </w:rPr>
        <w:t>сведения об объеме ранее возмещенных затрат, указанных в части 1 статьи 15 Федерального закона, в том числе по каждому объекту инфраструктуры (если применимо), о форме, в которой осуществлялось возмещение таких затрат, а также об объеме ранее возмещенного реального ущерба с указанием года и размера возмещения, в том числе по каждому объекту инфраструктуры (если применимо);</w:t>
      </w:r>
    </w:p>
    <w:p w14:paraId="97000000">
      <w:pPr>
        <w:widowControl w:val="0"/>
        <w:spacing w:before="0" w:line="240" w:lineRule="auto"/>
        <w:ind w:firstLine="709" w:left="0"/>
        <w:jc w:val="both"/>
        <w:rPr>
          <w:sz w:val="28"/>
        </w:rPr>
      </w:pPr>
      <w:r>
        <w:rPr>
          <w:sz w:val="28"/>
        </w:rPr>
        <w:t>перечень произведенных затрат, в том числе по каждому объекту инфраструктуры;</w:t>
      </w:r>
    </w:p>
    <w:p w14:paraId="98000000">
      <w:pPr>
        <w:spacing w:before="0" w:line="240" w:lineRule="auto"/>
        <w:ind w:firstLine="709" w:left="0"/>
        <w:jc w:val="both"/>
        <w:rPr>
          <w:sz w:val="28"/>
        </w:rPr>
      </w:pPr>
      <w:r>
        <w:rPr>
          <w:sz w:val="28"/>
        </w:rPr>
        <w:t>копии актов приема-передачи, иных документов, подтверждающих передачу объектов сопутствующей инфраструктуры проекта на баланс регулируемой организации или публично-правового образования (если применимо)</w:t>
      </w:r>
      <w:r>
        <w:rPr>
          <w:sz w:val="28"/>
        </w:rPr>
        <w:t>;</w:t>
      </w:r>
    </w:p>
    <w:p w14:paraId="99000000">
      <w:pPr>
        <w:widowControl w:val="0"/>
        <w:spacing w:before="0" w:line="240" w:lineRule="auto"/>
        <w:ind w:firstLine="709" w:left="0"/>
        <w:jc w:val="both"/>
        <w:rPr>
          <w:sz w:val="28"/>
        </w:rPr>
      </w:pPr>
      <w:r>
        <w:rPr>
          <w:sz w:val="28"/>
        </w:rPr>
        <w:t>в случае создания объекта инфраструктуры, включенного в инвестиционную программу регулируемой организации, финансовое обеспечение которого полностью или частично осуществляется за счет средств организации, реализующей проект, - копии документов, подтверждающих нахождение на балансе регулируемой организации созданного объекта инфраструктуры</w:t>
      </w:r>
      <w:r>
        <w:rPr>
          <w:sz w:val="28"/>
        </w:rPr>
        <w:t>, копии актов о выполненных работах по договорам о технологическом присоединении к сетям электро-, и (или) газо-, и (или) тепло-, и (или) водоснабжения и (или) водоотведения, а также копии платежных документов, подтверждающих оплату выполненных работ, копии разрешений уполномоченного органа технического надзора на допуск в эксплуатацию энергоустановки (объекта) (при наличии) (в том числе в случае возмещения затрат в отношении объекта инфраструктуры, создаваемого регулируемой организацией (в том числе включенного в инвестиционную программу регулируемой организации), финансовое обеспечение создания которых осуществляется полностью за счет средств организации, реализующей проект);</w:t>
      </w:r>
    </w:p>
    <w:p w14:paraId="9A000000">
      <w:pPr>
        <w:widowControl w:val="0"/>
        <w:spacing w:before="0" w:line="240" w:lineRule="auto"/>
        <w:ind w:firstLine="709" w:left="0"/>
        <w:jc w:val="both"/>
        <w:rPr>
          <w:sz w:val="28"/>
        </w:rPr>
      </w:pPr>
      <w:r>
        <w:rPr>
          <w:sz w:val="28"/>
        </w:rPr>
        <w:t xml:space="preserve">копию документа федерального органа исполнительной власти в области регулирования тарифов или исполнительных органов субъектов </w:t>
      </w:r>
      <w:r>
        <w:rPr>
          <w:sz w:val="28"/>
        </w:rPr>
        <w:t>Российской Федерации в области государственного регулирования тарифов об утверждении платы за технологическое присоединение энергопринимающих устройств и объектов электросетевого хозяйства в соответствии с законодательством Российской Федерации об электроэнергетике (при наличии);</w:t>
      </w:r>
    </w:p>
    <w:p w14:paraId="9B000000">
      <w:pPr>
        <w:spacing w:before="0" w:line="240" w:lineRule="auto"/>
        <w:ind w:firstLine="709" w:left="0"/>
        <w:jc w:val="both"/>
        <w:rPr>
          <w:sz w:val="28"/>
        </w:rPr>
      </w:pPr>
      <w:r>
        <w:rPr>
          <w:sz w:val="28"/>
        </w:rPr>
        <w:t xml:space="preserve">копии документов, подтверждающих создание (строительство) либо реконструкцию и ввод в эксплуатацию, а также государственную регистрацию в соответствии с законодательством Российской Федерации всех объектов недвижимого имущества в рамках проекта (копии актов приемки законченного строительством объекта, копия разрешения на ввод в эксплуатацию, выданного уполномоченным органом, копии приказов о вводе в эксплуатацию, выписки из Единого государственного реестра недвижимости) (по объектам, отношения по созданию которых регулируются законодательством о градостроительной деятельности) (в </w:t>
      </w:r>
      <w:r>
        <w:rPr>
          <w:sz w:val="28"/>
        </w:rPr>
        <w:t>случае создания объекта инфраструктуры в соответствии с частью 20 статьи 15 Федерального закона представление документов не требуется);</w:t>
      </w:r>
    </w:p>
    <w:p w14:paraId="9C000000">
      <w:pPr>
        <w:spacing w:before="0" w:line="240" w:lineRule="auto"/>
        <w:ind w:firstLine="709" w:left="0"/>
        <w:jc w:val="both"/>
        <w:rPr>
          <w:sz w:val="28"/>
        </w:rPr>
      </w:pPr>
      <w:r>
        <w:rPr>
          <w:sz w:val="28"/>
        </w:rPr>
        <w:t>копии заключений органов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(основного объекта проекта (основных объектов проекта) и объектов инфраструктуры)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контроля (надзора) (в случаях, предусмотренных частью 5 статьи 54 Градостроительного кодекса Российской Федерации), копии разрешений уполномоченного органа технического надзора на допуск к эксплуатации энергоустановки (объекта) (при наличии), копии документов, подтверждающих право организации, реализующей проект, а также юридических лиц, выступающих соисполнителями по договору, на осуществление работ по строительству и (или) реконструкции объектов инфраструктуры, проводимых по включенным в сводный сметный расчет стоимости строительства направлениям расходования, в том числе копии свидетельств о допуске к строительным или проектным работам и лицензии (по объектам, отношения по созданию которых регулируются законодательством о градостроительной деятельности) (в случае создания объекта инфраструктуры в соответствии с частью 20 статьи 15 Федерального закона представление документов не требуется);</w:t>
      </w:r>
    </w:p>
    <w:p w14:paraId="9D000000">
      <w:pPr>
        <w:spacing w:before="0" w:line="240" w:lineRule="auto"/>
        <w:ind w:firstLine="709" w:left="0"/>
        <w:jc w:val="both"/>
        <w:rPr>
          <w:sz w:val="28"/>
        </w:rPr>
      </w:pPr>
      <w:r>
        <w:rPr>
          <w:sz w:val="28"/>
        </w:rPr>
        <w:t>копии документов, подтверждающих государственную регистрацию результатов интеллектуальной деятельности и (или) приравненных к ним средств индивидуализации (если применимо);</w:t>
      </w:r>
    </w:p>
    <w:p w14:paraId="9E000000">
      <w:pPr>
        <w:spacing w:before="0" w:line="240" w:lineRule="auto"/>
        <w:ind w:firstLine="709" w:left="0"/>
        <w:jc w:val="both"/>
        <w:rPr>
          <w:sz w:val="28"/>
        </w:rPr>
      </w:pPr>
      <w:r>
        <w:rPr>
          <w:sz w:val="28"/>
        </w:rPr>
        <w:t>копии документов, подтверждающих завершение создания объекта инфраструктуры (копии приказов) о вводе в эксплуатацию объекта инфраструктуры, копии договоров о закупке товаров, работ и услуг, копии договоров подряда, первичные учетные документы, в том числе бухгалтерские, подтверждающие исполнение указанных договоров и их оплату (платежные поручения), копии документов, подтверждающих фактические затраты организации, реализующей проект, на создание объекта инфраструктуры в части работ, произведенных собственными силами, копии документов, подтверждающих право организации, реализующей проект, а также юридических лиц, выступающих соисполнителями по договору, на осуществление работ в случае, если на осуществление таких видов деятельности в соответствии с законодательством Российской Федерации требуется специальное разрешение (лицензируемые виды деятельности, деятельность, для осуществления которой необходимо членство в саморегулируемой организации, и другие) (по объектам, за исключением тех, отношения по созданию которых регулируются законодательством о градостроительной деятельности);</w:t>
      </w:r>
    </w:p>
    <w:p w14:paraId="9F000000">
      <w:pPr>
        <w:widowControl w:val="0"/>
        <w:spacing w:before="0" w:line="240" w:lineRule="auto"/>
        <w:ind w:firstLine="709" w:left="0"/>
        <w:jc w:val="both"/>
        <w:rPr>
          <w:sz w:val="28"/>
        </w:rPr>
      </w:pPr>
      <w:r>
        <w:rPr>
          <w:sz w:val="28"/>
        </w:rPr>
        <w:t>заключение федерального органа исполнительной власти, осуществляющего функции по контролю и надзору в области налогов и сборов, о не выявленных (выявленных) при</w:t>
      </w:r>
      <w:r>
        <w:rPr>
          <w:sz w:val="28"/>
        </w:rPr>
        <w:t xml:space="preserve"> проведении налогового контроля фактах искажения организацией, реализующей проект, размеров фактически понесенных затрат, предусмотренных пунктом 10 настоящего По</w:t>
      </w:r>
      <w:r>
        <w:rPr>
          <w:sz w:val="28"/>
        </w:rPr>
        <w:t>рядка, а также об отсутствии (о наличии) неисполненных мотивированных мнений, вынесенных в отношении организации, реализующей проект, в рамках налогового мониторинга по вопросам правильности определения размеров фактически понесенных затрат, предусмотренных пунктом 10 настоящего Порядка;</w:t>
      </w:r>
    </w:p>
    <w:p w14:paraId="A0000000">
      <w:pPr>
        <w:widowControl w:val="0"/>
        <w:spacing w:before="0" w:line="240" w:lineRule="auto"/>
        <w:ind w:firstLine="709" w:left="0"/>
        <w:jc w:val="both"/>
        <w:rPr>
          <w:sz w:val="28"/>
        </w:rPr>
      </w:pPr>
      <w:r>
        <w:rPr>
          <w:sz w:val="28"/>
        </w:rPr>
        <w:t xml:space="preserve">заключение Федерального казначейства о фактически понесенных затратах, </w:t>
      </w:r>
      <w:r>
        <w:rPr>
          <w:sz w:val="28"/>
        </w:rPr>
        <w:t>предусмотренных пунктом 10 настоящего Порядка</w:t>
      </w:r>
      <w:r>
        <w:rPr>
          <w:sz w:val="28"/>
        </w:rPr>
        <w:t>.</w:t>
      </w:r>
    </w:p>
    <w:p w14:paraId="A1000000">
      <w:pPr>
        <w:spacing w:before="0" w:line="240" w:lineRule="auto"/>
        <w:ind w:firstLine="709" w:left="0"/>
        <w:jc w:val="both"/>
        <w:rPr>
          <w:sz w:val="28"/>
        </w:rPr>
      </w:pPr>
      <w:r>
        <w:rPr>
          <w:sz w:val="28"/>
        </w:rPr>
        <w:t>б)</w:t>
      </w:r>
      <w:r>
        <w:rPr>
          <w:sz w:val="28"/>
        </w:rPr>
        <w:t xml:space="preserve"> в случае возмещения затрат на уплату процентов по кредитам и займам, купонного дохода по облигационным займам, привлеченным для создания объектов инфраструктуры, в том числе на реконструкцию объектов инфраструктуры, находящихся в государственной (муниципальной) собственности, если уплата таких процентов была осуществлена на инвестиционной стадии, при условии, что в отношении таких кредитов и займов, включая облигационные займы, не предоставляются меры прямой государственной поддержки, дополнительно к документам, представляемым в соответствии с подпунктом «а» настоящего пункта:</w:t>
      </w:r>
    </w:p>
    <w:p w14:paraId="A2000000">
      <w:pPr>
        <w:spacing w:before="0" w:line="240" w:lineRule="auto"/>
        <w:ind w:firstLine="709" w:left="0"/>
        <w:jc w:val="both"/>
        <w:rPr>
          <w:sz w:val="28"/>
        </w:rPr>
      </w:pPr>
      <w:r>
        <w:rPr>
          <w:sz w:val="28"/>
        </w:rPr>
        <w:t>кредитный договор (договор займа) с графиком погашения кредита (займа) и уплаты процентов по нему;</w:t>
      </w:r>
    </w:p>
    <w:p w14:paraId="A3000000">
      <w:pPr>
        <w:spacing w:before="0" w:line="240" w:lineRule="auto"/>
        <w:ind w:firstLine="709" w:left="0"/>
        <w:jc w:val="both"/>
        <w:rPr>
          <w:sz w:val="28"/>
        </w:rPr>
      </w:pPr>
      <w:r>
        <w:rPr>
          <w:sz w:val="28"/>
        </w:rPr>
        <w:t>документы, подтверждающие исполнение организацией, реализующей проект, графика платежей по кредитному договору (договору займа), справка об отсутствии просроченных платежей по целевому кредиту (займу) и остатке ссудной задолженности, выданная кредитной организацией не ранее чем за один месяц до дня подачи заявления о предоставлении субсидии;</w:t>
      </w:r>
    </w:p>
    <w:p w14:paraId="A4000000">
      <w:pPr>
        <w:spacing w:before="0" w:line="240" w:lineRule="auto"/>
        <w:ind w:firstLine="709" w:left="0"/>
        <w:jc w:val="both"/>
        <w:rPr>
          <w:sz w:val="28"/>
        </w:rPr>
      </w:pPr>
      <w:r>
        <w:rPr>
          <w:sz w:val="28"/>
        </w:rPr>
        <w:t>справка о размере уплаченных процентов по целевому кредиту (займу), выданная кредитной организацией;</w:t>
      </w:r>
    </w:p>
    <w:p w14:paraId="A5000000">
      <w:pPr>
        <w:spacing w:before="0" w:line="240" w:lineRule="auto"/>
        <w:ind w:firstLine="709" w:left="0"/>
        <w:jc w:val="both"/>
        <w:rPr>
          <w:sz w:val="28"/>
        </w:rPr>
      </w:pPr>
      <w:r>
        <w:rPr>
          <w:sz w:val="28"/>
        </w:rPr>
        <w:t>документы, подтверждающие исполнение организацией, реализующей проект, условий облигационных займов, по которым осуществляется выплата купонного дохода;</w:t>
      </w:r>
    </w:p>
    <w:p w14:paraId="A6000000">
      <w:pPr>
        <w:spacing w:before="0" w:line="240" w:lineRule="auto"/>
        <w:ind w:firstLine="709" w:left="0"/>
        <w:jc w:val="both"/>
        <w:rPr>
          <w:sz w:val="28"/>
        </w:rPr>
      </w:pPr>
      <w:r>
        <w:rPr>
          <w:sz w:val="28"/>
        </w:rPr>
        <w:t>документы, подтверждающие осуществление организацией, реализующей проект, за счет средств кредита (займа) и облигационного займа расходов, направленных на создание объектов инфраструктуры (копии платежных поручений);</w:t>
      </w:r>
    </w:p>
    <w:p w14:paraId="A7000000">
      <w:pPr>
        <w:spacing w:before="0" w:line="240" w:lineRule="auto"/>
        <w:ind w:firstLine="709" w:left="0"/>
        <w:jc w:val="both"/>
        <w:rPr>
          <w:sz w:val="28"/>
        </w:rPr>
      </w:pPr>
      <w:r>
        <w:rPr>
          <w:sz w:val="28"/>
        </w:rPr>
        <w:t>заверенная руководителем организации, реализующей проект, выписка по расчетному счету организации, реализующей проект, подтверждающая получение средств от размещения облигаций, копии платежных документов с отметкой кредитной организации о проведении платежа, подтверждающих предоставление средств на выплату купонного дохода платежному агенту - уполномоченному депозитарию, а также заверенные аудитором или представителем владельцев облигаций и руководителем организации, реализующей проект, копии отчетов платежного агента - уполномоченного депозитария о выплате купонного дохода (если применимо);</w:t>
      </w:r>
    </w:p>
    <w:p w14:paraId="A8000000">
      <w:pPr>
        <w:spacing w:before="0" w:line="240" w:lineRule="auto"/>
        <w:ind w:firstLine="709" w:left="0"/>
        <w:jc w:val="both"/>
        <w:rPr>
          <w:sz w:val="28"/>
        </w:rPr>
      </w:pPr>
      <w:r>
        <w:rPr>
          <w:sz w:val="28"/>
        </w:rPr>
        <w:t>справка, подписанная руководителем и главным бухгалтером (при наличии) организации, реализующей проект, скрепленная печатью организации (при наличии), подтверждающая использование средств, полученных от размещения облигаций, на реализацию проекта, заверенная аудитором или представителем владельцев облигаций (если применимо);</w:t>
      </w:r>
    </w:p>
    <w:p w14:paraId="A9000000">
      <w:pPr>
        <w:spacing w:before="0" w:line="240" w:lineRule="auto"/>
        <w:ind w:firstLine="709" w:left="0"/>
        <w:jc w:val="both"/>
        <w:rPr>
          <w:sz w:val="28"/>
        </w:rPr>
      </w:pPr>
      <w:r>
        <w:rPr>
          <w:sz w:val="28"/>
        </w:rPr>
        <w:t>копия решения о выпуске (дополнительном выпуске) облигаций с отметкой о государственной регистрации решения, копия зарегистрированного уполномоченным органом, осуществляющим государственную регистрацию выпусков ценных бумаг, отчета об итогах выпуска облигаций с отметкой о государственной регистрации отчета (в случае размещения биржевых облигаций);</w:t>
      </w:r>
    </w:p>
    <w:p w14:paraId="AA000000">
      <w:pPr>
        <w:spacing w:before="0" w:line="240" w:lineRule="auto"/>
        <w:ind w:firstLine="709" w:left="0"/>
        <w:jc w:val="both"/>
        <w:rPr>
          <w:sz w:val="28"/>
        </w:rPr>
      </w:pPr>
      <w:r>
        <w:rPr>
          <w:sz w:val="28"/>
        </w:rPr>
        <w:t>копия решения о выпуске (дополнительном выпуске) биржевых облигаций с отметкой о допуске биржевых облигаций к торгам на фондовой бирже в процессе размещения, в случае размещения коммерческих облигаций копия решения о выпуске (дополнительном выпуске) коммерческих облигаций с отметкой о присвоении идентификационного номера, заверенные подписью руководителя организации и печатью организации (при наличии);</w:t>
      </w:r>
    </w:p>
    <w:p w14:paraId="AB000000">
      <w:pPr>
        <w:spacing w:before="0" w:line="240" w:lineRule="auto"/>
        <w:ind w:firstLine="709" w:left="0"/>
        <w:jc w:val="both"/>
        <w:rPr>
          <w:sz w:val="28"/>
        </w:rPr>
      </w:pPr>
      <w:r>
        <w:rPr>
          <w:sz w:val="28"/>
        </w:rPr>
        <w:t>б(1)) в случае возмещения затрат на уплату процентов по кредитам и займам, купонного дохода по облигационным займам, привлеченным для реализации проекта в части создания основного объекта проекта (основных объектов проекта), если уплата таких процентов была осуществлена на инвестиционной стадии, при условии, что в отношении таких кредитов и займов, включая облигационные займы, не предоставляются меры прямой государственной поддержки:</w:t>
      </w:r>
    </w:p>
    <w:p w14:paraId="AC000000">
      <w:pPr>
        <w:spacing w:before="0" w:line="240" w:lineRule="auto"/>
        <w:ind w:firstLine="709" w:left="0"/>
        <w:jc w:val="both"/>
        <w:rPr>
          <w:sz w:val="28"/>
        </w:rPr>
      </w:pPr>
      <w:r>
        <w:rPr>
          <w:sz w:val="28"/>
        </w:rPr>
        <w:t>сведения об основном объекте проекта (основных объектах проекта), затраты на которые планируется возместить, предполагаемой дате начала возмещения затрат, прогнозируемой общей сумме затрат, подлежащих возмещению, с разбивкой по годам на планируемый срок возмещения затрат;</w:t>
      </w:r>
    </w:p>
    <w:p w14:paraId="AD000000">
      <w:pPr>
        <w:spacing w:before="0" w:line="240" w:lineRule="auto"/>
        <w:ind w:firstLine="709" w:left="0"/>
        <w:jc w:val="both"/>
        <w:rPr>
          <w:sz w:val="28"/>
        </w:rPr>
      </w:pPr>
      <w:r>
        <w:rPr>
          <w:sz w:val="28"/>
        </w:rPr>
        <w:t>расчет объема возмещения затрат, указанных в части 1 статьи 15 Федерального закона, составленный по форме, предусмотренной приложением к настоящему Порядку;</w:t>
      </w:r>
    </w:p>
    <w:p w14:paraId="AE000000">
      <w:pPr>
        <w:spacing w:before="0" w:line="240" w:lineRule="auto"/>
        <w:ind w:firstLine="709" w:left="0"/>
        <w:jc w:val="both"/>
        <w:rPr>
          <w:sz w:val="28"/>
        </w:rPr>
      </w:pPr>
      <w:r>
        <w:rPr>
          <w:sz w:val="28"/>
        </w:rPr>
        <w:t>сведения о сметной стоимости основного объекта проекта (основных объектов проекта), в том числе по каждому основному объекту проекта, отношения по созданию которых регулируются законодательством о градостроительной деятельности, положительные заключения о проведении государственной экспертизы проектной документации основного объекта проекта (основных объектов проекта) и проверки достоверности определения их сметной стоимости, в том числе по каждому основному объекту проекта;</w:t>
      </w:r>
    </w:p>
    <w:p w14:paraId="AF000000">
      <w:pPr>
        <w:spacing w:before="0" w:line="240" w:lineRule="auto"/>
        <w:ind w:firstLine="709" w:left="0"/>
        <w:jc w:val="both"/>
        <w:rPr>
          <w:sz w:val="28"/>
        </w:rPr>
      </w:pPr>
      <w:r>
        <w:rPr>
          <w:sz w:val="28"/>
        </w:rPr>
        <w:t>положительные заключения о проведении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14:paraId="B0000000">
      <w:pPr>
        <w:spacing w:before="0" w:line="240" w:lineRule="auto"/>
        <w:ind w:firstLine="709" w:left="0"/>
        <w:jc w:val="both"/>
        <w:rPr>
          <w:sz w:val="28"/>
        </w:rPr>
      </w:pPr>
      <w:r>
        <w:rPr>
          <w:sz w:val="28"/>
        </w:rPr>
        <w:t>положительное заключение о проведении технологического аудита;</w:t>
      </w:r>
    </w:p>
    <w:p w14:paraId="B1000000">
      <w:pPr>
        <w:spacing w:before="0" w:line="240" w:lineRule="auto"/>
        <w:ind w:firstLine="709" w:left="0"/>
        <w:jc w:val="both"/>
        <w:rPr>
          <w:sz w:val="28"/>
        </w:rPr>
      </w:pPr>
      <w:r>
        <w:rPr>
          <w:sz w:val="28"/>
        </w:rPr>
        <w:t>копия договора о комплексном развитии территории (если применимо);</w:t>
      </w:r>
    </w:p>
    <w:p w14:paraId="B2000000">
      <w:pPr>
        <w:spacing w:before="0" w:line="240" w:lineRule="auto"/>
        <w:ind w:firstLine="709" w:left="0"/>
        <w:jc w:val="both"/>
        <w:rPr>
          <w:sz w:val="28"/>
        </w:rPr>
      </w:pPr>
      <w:r>
        <w:rPr>
          <w:sz w:val="28"/>
        </w:rPr>
        <w:t>сведения о реализации жилых помещений, осуществляемой организацией, реализующей проект, по цене, определенной исходя из произведения средней рыночной стоимости одного квадратного метра, утвержденной Министерством строительства и жилищно-коммунального хозяйства Российской Федерации, и общей площади таких помещений, уменьшенной на сумму планируемых к возмещению затрат (если применимо);</w:t>
      </w:r>
    </w:p>
    <w:p w14:paraId="B3000000">
      <w:pPr>
        <w:spacing w:before="0" w:line="240" w:lineRule="auto"/>
        <w:ind w:firstLine="709" w:left="0"/>
        <w:jc w:val="both"/>
        <w:rPr>
          <w:sz w:val="28"/>
        </w:rPr>
      </w:pPr>
      <w:r>
        <w:rPr>
          <w:sz w:val="28"/>
        </w:rPr>
        <w:t>сведения о прогнозируемом объеме сумм налогов и обязательных платежей, подлежащих уплате в бюджеты публично-правовых образований, каждое из которых является стороной федерального соглашения о защите и поощрении капиталовложений, в связи с реализацией проекта (с разбивкой по видам налогов и обязательных платежей, по годам и по бюджетам бюджетной системы Российской Федерации на планируемый срок возмещения затрат);</w:t>
      </w:r>
    </w:p>
    <w:p w14:paraId="B4000000">
      <w:pPr>
        <w:spacing w:before="0" w:line="240" w:lineRule="auto"/>
        <w:ind w:firstLine="709" w:left="0"/>
        <w:jc w:val="both"/>
        <w:rPr>
          <w:sz w:val="28"/>
        </w:rPr>
      </w:pPr>
      <w:r>
        <w:rPr>
          <w:sz w:val="28"/>
        </w:rPr>
        <w:t>сведения об объеме ранее возмещенных затрат, указанных в части 1 статьи 15 Федерального закона, в том числе по каждому объекту инфраструктуры (если применимо), о форме, в которой осуществлялось возмещение таких затрат, а также об объеме ранее возмещенного ущерба с указанием года и размера возмещения, в том числе по каждому объекту инфраструктуры (если применимо);</w:t>
      </w:r>
    </w:p>
    <w:p w14:paraId="B5000000">
      <w:pPr>
        <w:spacing w:before="0" w:line="240" w:lineRule="auto"/>
        <w:ind w:firstLine="709" w:left="0"/>
        <w:jc w:val="both"/>
        <w:rPr>
          <w:sz w:val="28"/>
        </w:rPr>
      </w:pPr>
      <w:r>
        <w:rPr>
          <w:sz w:val="28"/>
        </w:rPr>
        <w:t>сведения о размере предоставленных мер прямой государственной поддержки в связи с осуществлением проекта;</w:t>
      </w:r>
    </w:p>
    <w:p w14:paraId="B6000000">
      <w:pPr>
        <w:spacing w:before="0" w:line="240" w:lineRule="auto"/>
        <w:ind w:firstLine="709" w:left="0"/>
        <w:jc w:val="both"/>
        <w:rPr>
          <w:sz w:val="28"/>
        </w:rPr>
      </w:pPr>
      <w:r>
        <w:rPr>
          <w:sz w:val="28"/>
        </w:rPr>
        <w:t>перечень произведенных затрат;</w:t>
      </w:r>
    </w:p>
    <w:p w14:paraId="B7000000">
      <w:pPr>
        <w:spacing w:before="0" w:line="240" w:lineRule="auto"/>
        <w:ind w:firstLine="709" w:left="0"/>
        <w:jc w:val="both"/>
        <w:rPr>
          <w:sz w:val="28"/>
        </w:rPr>
      </w:pPr>
      <w:r>
        <w:rPr>
          <w:sz w:val="28"/>
        </w:rPr>
        <w:t>копии документов, подтверждающих создание (строительство) либо реконструкцию и ввод в эксплуатацию, а также государственную регистрацию в соответствии с законодательством Российской Федерации всех объектов недвижимого имущества в рамках проекта (копии актов приемки законченного строительством объекта, копия разрешения на ввод в эксплуатацию, выданного уполномоченным органом, копии приказов о вводе в эксплуатацию, выписки из Единого государственного реестра недвижимости) (по объектам, отношения по созданию которых регулируются законодательством о градостроительной деятельности);</w:t>
      </w:r>
    </w:p>
    <w:p w14:paraId="B8000000">
      <w:pPr>
        <w:spacing w:before="0" w:line="240" w:lineRule="auto"/>
        <w:ind w:firstLine="709" w:left="0"/>
        <w:jc w:val="both"/>
        <w:rPr>
          <w:sz w:val="28"/>
        </w:rPr>
      </w:pPr>
      <w:r>
        <w:rPr>
          <w:sz w:val="28"/>
        </w:rPr>
        <w:t>копии заключений органов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(основного объекта проекта (основных объектов проекта)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контроля (надзора) (в случаях, предусмотренных частью 5 статьи 54 Градостроительного кодекса Российской Федерации), копии разрешений уполномоченного органа технического надзора на допуск к эксплуатации энергоустановки (объекта) (при наличии), копии документов, подтверждающих право организации, реализующей проект, а также юридических лиц, выступающих соисполнителями по договору, на осуществление работ по строительству и (или) реконструкции основного объекта проекта (основных объектов проекта), проводимых по включенным в сводный сметный расчет стоимости строительства направлениям расходования, в том числе копии свидетельств о допуске к строительным или проектным работам и лицензии (по объектам, отношения по созданию которых регулируются законодательством о градостроительной деятельности);</w:t>
      </w:r>
    </w:p>
    <w:p w14:paraId="B9000000">
      <w:pPr>
        <w:spacing w:before="0" w:line="240" w:lineRule="auto"/>
        <w:ind w:firstLine="709" w:left="0"/>
        <w:jc w:val="both"/>
        <w:rPr>
          <w:sz w:val="28"/>
        </w:rPr>
      </w:pPr>
      <w:r>
        <w:rPr>
          <w:sz w:val="28"/>
        </w:rPr>
        <w:t>копии документов, подтверждающих завершение создания основного объекта проекта (основных объектов проекта) (копии приказов о вводе в эксплуатацию основного объекта проекта (основных объектов проекта), копии договоров о закупке товаров, работ и услуг, копии договоров подряда, первичные учетные документы, в том числе бухгалтерские, подтверждающие исполнение указанных договоров и их оплату (платежные поручения), копии документов, подтверждающих фактические затраты организации, реализующей проект, на создание основного объекта проекта (основных объектов проекта) в части работ, произведенных собственными силами, копии документов, подтверждающих право организации, реализующей проект, а также юридических лиц, выступающих соисполнителями по договору, на осуществление работ в случае, если на осуществление таких видов деятельности в соответствии с законодательством Российской Федерации требуется специальное разрешение (лицензируемые виды деятельности, деятельность, для осуществления которой необходимо членство в саморегулируемой организации, и другие) (по объектам, за исключением тех, отношения по созданию которых регулируются законодательством о градостроительной деятельности);</w:t>
      </w:r>
    </w:p>
    <w:p w14:paraId="BA000000">
      <w:pPr>
        <w:spacing w:before="0" w:line="240" w:lineRule="auto"/>
        <w:ind w:firstLine="709" w:left="0"/>
        <w:jc w:val="both"/>
        <w:rPr>
          <w:sz w:val="28"/>
        </w:rPr>
      </w:pPr>
      <w:r>
        <w:rPr>
          <w:sz w:val="28"/>
        </w:rPr>
        <w:t>документы, подтверждающие осуществление организацией, реализующей проект, за счет средств кредита (займа) и облигационного займа расходов, направленных на создание основного объекта проекта (основных объектов проекта) (копии платежных поручений);</w:t>
      </w:r>
    </w:p>
    <w:p w14:paraId="BB000000">
      <w:pPr>
        <w:spacing w:before="0" w:line="240" w:lineRule="auto"/>
        <w:ind w:firstLine="709" w:left="0"/>
        <w:jc w:val="both"/>
        <w:rPr>
          <w:sz w:val="28"/>
        </w:rPr>
      </w:pPr>
      <w:r>
        <w:rPr>
          <w:sz w:val="28"/>
        </w:rPr>
        <w:t xml:space="preserve">заключение федерального органа исполнительной власти, осуществляющего функции по контролю и надзору в области налогов и сборов, о не выявленных (выявленных) при проведении налогового контроля фактах искажения организацией, реализующей проект, размеров фактически понесенных затрат, предусмотренных </w:t>
      </w:r>
      <w:r>
        <w:rPr>
          <w:sz w:val="28"/>
        </w:rPr>
        <w:t>пунктом 10 настоящего Порядка</w:t>
      </w:r>
      <w:r>
        <w:rPr>
          <w:sz w:val="28"/>
        </w:rPr>
        <w:t>, а также об отсутствии (о наличии) неисполненных мотивированных мнений, вынесенных в отношении организации, реализующей проект, в рамках налогового мониторинга по вопросам пр</w:t>
      </w:r>
      <w:r>
        <w:rPr>
          <w:sz w:val="28"/>
        </w:rPr>
        <w:t xml:space="preserve">авильности определения размеров фактически понесенных затрат, предусмотренных </w:t>
      </w:r>
      <w:r>
        <w:rPr>
          <w:sz w:val="28"/>
        </w:rPr>
        <w:t>пунктом 10 настоящего Порядка</w:t>
      </w:r>
      <w:r>
        <w:rPr>
          <w:sz w:val="28"/>
        </w:rPr>
        <w:t>;</w:t>
      </w:r>
    </w:p>
    <w:p w14:paraId="BC000000">
      <w:pPr>
        <w:spacing w:before="0" w:line="240" w:lineRule="auto"/>
        <w:ind w:firstLine="709" w:left="0"/>
        <w:jc w:val="both"/>
        <w:rPr>
          <w:sz w:val="28"/>
        </w:rPr>
      </w:pPr>
      <w:r>
        <w:rPr>
          <w:sz w:val="28"/>
        </w:rPr>
        <w:t>представлено заключение Федерального казначейства о фактически понесенных затратах</w:t>
      </w:r>
      <w:r>
        <w:rPr>
          <w:sz w:val="28"/>
        </w:rPr>
        <w:t>, предусмотренных пунктом 10 настоящего Порядка</w:t>
      </w:r>
      <w:r>
        <w:rPr>
          <w:sz w:val="28"/>
        </w:rPr>
        <w:t>;</w:t>
      </w:r>
    </w:p>
    <w:p w14:paraId="BD000000">
      <w:pPr>
        <w:spacing w:before="0" w:line="240" w:lineRule="auto"/>
        <w:ind w:firstLine="709" w:left="0"/>
        <w:jc w:val="both"/>
        <w:rPr>
          <w:sz w:val="28"/>
        </w:rPr>
      </w:pPr>
      <w:r>
        <w:rPr>
          <w:sz w:val="28"/>
        </w:rPr>
        <w:t>документы, представляемые в соответствии с абзацами вторым - пятым, седьмым - десятым подпункта «б» настоящего пункта.</w:t>
      </w:r>
    </w:p>
    <w:p w14:paraId="BE000000">
      <w:pPr>
        <w:spacing w:before="0" w:line="240" w:lineRule="auto"/>
        <w:ind w:firstLine="709" w:left="0"/>
        <w:jc w:val="both"/>
        <w:rPr>
          <w:sz w:val="28"/>
        </w:rPr>
      </w:pPr>
      <w:r>
        <w:rPr>
          <w:sz w:val="28"/>
        </w:rPr>
        <w:t>в) в случае возмещения затрат на демонтаж объектов, расположен</w:t>
      </w:r>
      <w:r>
        <w:rPr>
          <w:sz w:val="28"/>
        </w:rPr>
        <w:t>ных на территориях военных городков (в части жилищного строительства):</w:t>
      </w:r>
    </w:p>
    <w:p w14:paraId="BF000000">
      <w:pPr>
        <w:spacing w:before="0" w:line="240" w:lineRule="auto"/>
        <w:ind w:firstLine="709" w:left="0"/>
        <w:jc w:val="both"/>
        <w:rPr>
          <w:sz w:val="28"/>
        </w:rPr>
      </w:pPr>
      <w:r>
        <w:rPr>
          <w:sz w:val="28"/>
        </w:rPr>
        <w:t>сведения о демонтированных объектах, которые были расположены на территориях военных городков (в части жилищного строительства), затраты на которые планируется возместить, с указанием предполагаемой даты начала возмещения затрат, прогнозируемой общей суммы затрат, подлежащих возмещению (с разбивкой по годам на планируемый срок возмещения затрат);</w:t>
      </w:r>
    </w:p>
    <w:p w14:paraId="C0000000">
      <w:pPr>
        <w:spacing w:before="0" w:line="240" w:lineRule="auto"/>
        <w:ind w:firstLine="709" w:left="0"/>
        <w:jc w:val="both"/>
        <w:rPr>
          <w:sz w:val="28"/>
        </w:rPr>
      </w:pPr>
      <w:r>
        <w:rPr>
          <w:sz w:val="28"/>
        </w:rPr>
        <w:t>расчет объема возмещения затрат, указанных в части 1 статьи 15 Федерального закона, составленный по форме, предусмотренной приложением к настоящему Порядку;</w:t>
      </w:r>
    </w:p>
    <w:p w14:paraId="C1000000">
      <w:pPr>
        <w:spacing w:before="0" w:line="240" w:lineRule="auto"/>
        <w:ind w:firstLine="709" w:left="0"/>
        <w:jc w:val="both"/>
        <w:rPr>
          <w:sz w:val="28"/>
        </w:rPr>
      </w:pPr>
      <w:r>
        <w:rPr>
          <w:sz w:val="28"/>
        </w:rPr>
        <w:t>решение уполномоченного федерального органа исполнительной власти, в ведении которого находятся указанные объекты, об их передислокации;</w:t>
      </w:r>
    </w:p>
    <w:p w14:paraId="C2000000">
      <w:pPr>
        <w:spacing w:before="0" w:line="240" w:lineRule="auto"/>
        <w:ind w:firstLine="709" w:left="0"/>
        <w:jc w:val="both"/>
        <w:rPr>
          <w:sz w:val="28"/>
        </w:rPr>
      </w:pPr>
      <w:r>
        <w:rPr>
          <w:sz w:val="28"/>
        </w:rPr>
        <w:t>проект работ по сносу объекта (при необходимости);</w:t>
      </w:r>
    </w:p>
    <w:p w14:paraId="C3000000">
      <w:pPr>
        <w:spacing w:before="0" w:line="240" w:lineRule="auto"/>
        <w:ind w:firstLine="709" w:left="0"/>
        <w:jc w:val="both"/>
        <w:rPr>
          <w:sz w:val="28"/>
        </w:rPr>
      </w:pPr>
      <w:r>
        <w:rPr>
          <w:sz w:val="28"/>
        </w:rPr>
        <w:t>сведения о сметной стоимости сноса объектов капитального строительства, в том числе по каждому объекту капитального строительства, положительные заключения о проведении государственной экспертизы проектной документации в части проверки достоверности определения сметной стоимости сноса объектов капитального строительства, в том числе по каждому объекту капитального строительства;</w:t>
      </w:r>
    </w:p>
    <w:p w14:paraId="C4000000">
      <w:pPr>
        <w:spacing w:before="0" w:line="240" w:lineRule="auto"/>
        <w:ind w:firstLine="709" w:left="0"/>
        <w:jc w:val="both"/>
        <w:rPr>
          <w:sz w:val="28"/>
        </w:rPr>
      </w:pPr>
      <w:r>
        <w:rPr>
          <w:sz w:val="28"/>
        </w:rPr>
        <w:t>положительные заключения о проведении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14:paraId="C5000000">
      <w:pPr>
        <w:spacing w:before="0" w:line="240" w:lineRule="auto"/>
        <w:ind w:firstLine="709" w:left="0"/>
        <w:jc w:val="both"/>
        <w:rPr>
          <w:sz w:val="28"/>
        </w:rPr>
      </w:pPr>
      <w:r>
        <w:rPr>
          <w:sz w:val="28"/>
        </w:rPr>
        <w:t>сведения об объеме ранее возмещенных затрат, указанных в части 1 статьи 15 Федерального закона, в том числе по каждому объекту инфраструктуры (если применимо), о форме, в которой осуществлялось возмещение таких затрат, а также об объеме ранее возмещенного реального ущерба с указанием года и размера возмещения, в том числе по каждому объекту инфраструктуры (если применимо);</w:t>
      </w:r>
    </w:p>
    <w:p w14:paraId="C6000000">
      <w:pPr>
        <w:spacing w:before="0" w:line="240" w:lineRule="auto"/>
        <w:ind w:firstLine="709" w:left="0"/>
        <w:jc w:val="both"/>
        <w:rPr>
          <w:sz w:val="28"/>
        </w:rPr>
      </w:pPr>
      <w:r>
        <w:rPr>
          <w:sz w:val="28"/>
        </w:rPr>
        <w:t>сведения о размере предоставленных мер прямой государственной поддержки в связи с осуществлением проекта;</w:t>
      </w:r>
    </w:p>
    <w:p w14:paraId="C7000000">
      <w:pPr>
        <w:spacing w:before="0" w:line="240" w:lineRule="auto"/>
        <w:ind w:firstLine="709" w:left="0"/>
        <w:jc w:val="both"/>
        <w:rPr>
          <w:sz w:val="28"/>
        </w:rPr>
      </w:pPr>
      <w:r>
        <w:rPr>
          <w:sz w:val="28"/>
        </w:rPr>
        <w:t>сведения о прогнозируемом объеме сумм налогов и обязательных платежей, подлежащих уплате в бюджеты публично-правовых образований, каждое из которых является стороной федерального соглашения о защите и поощрении капиталовложений, в связи с реализацией проекта (с разбивкой по видам налогов и обязательных платежей, по годам и по бюджетам бюджетной системы Российской Федерации на планируемый срок возмещения затрат);</w:t>
      </w:r>
    </w:p>
    <w:p w14:paraId="C8000000">
      <w:pPr>
        <w:spacing w:before="0" w:line="240" w:lineRule="auto"/>
        <w:ind w:firstLine="709" w:left="0"/>
        <w:jc w:val="both"/>
        <w:rPr>
          <w:sz w:val="28"/>
        </w:rPr>
      </w:pPr>
      <w:r>
        <w:rPr>
          <w:sz w:val="28"/>
        </w:rPr>
        <w:t>перечень произведенных затрат;</w:t>
      </w:r>
    </w:p>
    <w:p w14:paraId="C9000000">
      <w:pPr>
        <w:spacing w:before="0" w:line="240" w:lineRule="auto"/>
        <w:ind w:firstLine="709" w:left="0"/>
        <w:jc w:val="both"/>
        <w:rPr>
          <w:sz w:val="28"/>
        </w:rPr>
      </w:pPr>
      <w:r>
        <w:rPr>
          <w:sz w:val="28"/>
        </w:rPr>
        <w:t>уведомление о завершении сноса объекта капитального строительства;</w:t>
      </w:r>
    </w:p>
    <w:p w14:paraId="CA000000">
      <w:pPr>
        <w:spacing w:before="0" w:line="240" w:lineRule="auto"/>
        <w:ind w:firstLine="709" w:left="0"/>
        <w:jc w:val="both"/>
        <w:rPr>
          <w:sz w:val="28"/>
        </w:rPr>
      </w:pPr>
      <w:r>
        <w:rPr>
          <w:sz w:val="28"/>
        </w:rPr>
        <w:t>копия выписки, подтверждающая исключение объекта из Единого государственного реестра недвижимости и его снятие с кадастрового учета;</w:t>
      </w:r>
    </w:p>
    <w:p w14:paraId="CB000000">
      <w:pPr>
        <w:spacing w:before="0" w:line="240" w:lineRule="auto"/>
        <w:ind w:firstLine="709" w:left="0"/>
        <w:jc w:val="both"/>
        <w:rPr>
          <w:sz w:val="28"/>
        </w:rPr>
      </w:pPr>
      <w:r>
        <w:rPr>
          <w:sz w:val="28"/>
        </w:rPr>
        <w:t>копии договоров об утилизации соответствующих отходов;</w:t>
      </w:r>
    </w:p>
    <w:p w14:paraId="CC000000">
      <w:pPr>
        <w:spacing w:before="0" w:line="240" w:lineRule="auto"/>
        <w:ind w:firstLine="709" w:left="0"/>
        <w:jc w:val="both"/>
        <w:rPr>
          <w:sz w:val="28"/>
        </w:rPr>
      </w:pPr>
      <w:r>
        <w:rPr>
          <w:sz w:val="28"/>
        </w:rPr>
        <w:t>первичные учетные документы, в том числе бухгалтерские, подтверждающие исполнение указанных договоров и их оплату (платежные поручения), копии документов, подтверждающих фактические затраты организации, реализующей проект, на демонтаж объектов в части работ, произведенных собственными силами;</w:t>
      </w:r>
    </w:p>
    <w:p w14:paraId="CD000000">
      <w:pPr>
        <w:spacing w:before="0" w:line="240" w:lineRule="auto"/>
        <w:ind w:firstLine="709" w:left="0"/>
        <w:jc w:val="both"/>
        <w:rPr>
          <w:sz w:val="28"/>
        </w:rPr>
      </w:pPr>
      <w:r>
        <w:rPr>
          <w:sz w:val="28"/>
        </w:rPr>
        <w:t xml:space="preserve">заключение федерального органа исполнительной власти, осуществляющего функции по контролю и надзору в области налогов и сборов, о не выявленных (выявленных) при проведении налогового контроля фактах искажения организацией, реализующей проект, размеров фактически понесенных затрат, предусмотренных </w:t>
      </w:r>
      <w:r>
        <w:rPr>
          <w:sz w:val="28"/>
        </w:rPr>
        <w:t>пунктом 10 настоящего Порядка</w:t>
      </w:r>
      <w:r>
        <w:rPr>
          <w:sz w:val="28"/>
        </w:rPr>
        <w:t xml:space="preserve">, а также об отсутствии (о наличии) неисполненных мотивированных мнений, вынесенных в отношении организации, реализующей проект, в рамках налогового мониторинга по вопросам правильности определения размеров фактически понесенных затрат, предусмотренных </w:t>
      </w:r>
      <w:r>
        <w:rPr>
          <w:sz w:val="28"/>
        </w:rPr>
        <w:t>пунктом 10 настоящего Порядка</w:t>
      </w:r>
      <w:r>
        <w:rPr>
          <w:sz w:val="28"/>
        </w:rPr>
        <w:t>;</w:t>
      </w:r>
    </w:p>
    <w:p w14:paraId="CE000000">
      <w:pPr>
        <w:spacing w:before="0" w:line="240" w:lineRule="auto"/>
        <w:ind w:firstLine="709" w:left="0"/>
        <w:jc w:val="both"/>
        <w:rPr>
          <w:sz w:val="28"/>
        </w:rPr>
      </w:pPr>
      <w:r>
        <w:rPr>
          <w:sz w:val="28"/>
        </w:rPr>
        <w:t>представлено заключение Федерального казначейства о фактически понесенных затратах</w:t>
      </w:r>
      <w:r>
        <w:rPr>
          <w:sz w:val="28"/>
        </w:rPr>
        <w:t>, предусмотренных пунктом 10 настоящего Порядка.</w:t>
      </w:r>
    </w:p>
    <w:p w14:paraId="CF000000">
      <w:pPr>
        <w:widowControl w:val="0"/>
        <w:spacing w:before="0" w:line="240" w:lineRule="auto"/>
        <w:ind w:firstLine="709" w:left="0"/>
        <w:jc w:val="both"/>
        <w:rPr>
          <w:sz w:val="28"/>
        </w:rPr>
      </w:pPr>
      <w:r>
        <w:rPr>
          <w:sz w:val="28"/>
        </w:rPr>
        <w:t>20. Заявления</w:t>
      </w:r>
      <w:r>
        <w:rPr>
          <w:sz w:val="28"/>
        </w:rPr>
        <w:t>, указанные в абзаце первом подпункта «а», в абзаце первом подпункта «б» пункта 19 настоящего Порядка, составляются в произвольной форме, подписываются руководителем и главным бухгалтером (при наличии) организации, реализующей проект, скрепляются печатью (при наличии). В заявлениях также указываются сведения об организации, реализующей проект: полное наименование в соответствии с учредительными документами, ИНН, КПП, ОГРН, дата государственной регистрации, юридический и фактический адрес, реквизиты для перечисления субсидии (расчетный счет, наименование кредитной организации, БИК, корреспондентский счет, ОКТМО).</w:t>
      </w:r>
    </w:p>
    <w:p w14:paraId="D0000000">
      <w:pPr>
        <w:widowControl w:val="0"/>
        <w:spacing w:before="0" w:line="240" w:lineRule="auto"/>
        <w:ind w:firstLine="709" w:left="0"/>
        <w:jc w:val="both"/>
        <w:rPr>
          <w:sz w:val="28"/>
        </w:rPr>
      </w:pPr>
      <w:r>
        <w:rPr>
          <w:sz w:val="28"/>
        </w:rPr>
        <w:t>21. Копии документов, указанных в пункте 19 настоящего Порядка, заверяются руководителем и главным бухгалтером (при наличии) организации, реализующей проект, подлинники указанных документов представляются для сверки с представленными копиями в уполномоченный орган.</w:t>
      </w:r>
    </w:p>
    <w:p w14:paraId="D1000000">
      <w:pPr>
        <w:widowControl w:val="0"/>
        <w:spacing w:before="0" w:line="240" w:lineRule="auto"/>
        <w:ind w:firstLine="709" w:left="0"/>
        <w:jc w:val="both"/>
        <w:rPr>
          <w:sz w:val="28"/>
        </w:rPr>
      </w:pPr>
      <w:r>
        <w:rPr>
          <w:sz w:val="28"/>
        </w:rPr>
        <w:t>22. Субсидия предоставляется организации, реализующей проект, при условии, что на 1 число месяца, в котором планируется подача заявления, информации и документов об объектах инфраструктуры, затраты в отношении которых подлежат возмещению, организация, реализующая проект, соответствует следующим требованиям:</w:t>
      </w:r>
    </w:p>
    <w:p w14:paraId="D2000000">
      <w:pPr>
        <w:widowControl w:val="0"/>
        <w:spacing w:before="0" w:line="240" w:lineRule="auto"/>
        <w:ind w:firstLine="709" w:left="0"/>
        <w:jc w:val="both"/>
        <w:rPr>
          <w:sz w:val="28"/>
        </w:rPr>
      </w:pPr>
      <w:r>
        <w:rPr>
          <w:sz w:val="28"/>
        </w:rPr>
        <w:t>отсутствие у организации, реализующей проект, неисполненной обязанности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w:t>
      </w:r>
    </w:p>
    <w:p w14:paraId="D3000000">
      <w:pPr>
        <w:widowControl w:val="0"/>
        <w:spacing w:before="0" w:line="240" w:lineRule="auto"/>
        <w:ind w:firstLine="709" w:left="0"/>
        <w:jc w:val="both"/>
        <w:rPr>
          <w:sz w:val="28"/>
        </w:rPr>
      </w:pPr>
      <w:r>
        <w:rPr>
          <w:sz w:val="28"/>
        </w:rPr>
        <w:t>отсутствие у организации, реализующей проект, просроченной (неурегулированной) задолженности по денежным обязательствам перед соответствующим публично-правовым образованием, из бюджета которого планируется предоставление субсидий, бюджетных инвестиций (за исключением случаев, установленных Правительством Ивановской области);</w:t>
      </w:r>
    </w:p>
    <w:p w14:paraId="D4000000">
      <w:pPr>
        <w:widowControl w:val="0"/>
        <w:spacing w:before="0" w:line="240" w:lineRule="auto"/>
        <w:ind w:firstLine="709" w:left="0"/>
        <w:jc w:val="both"/>
        <w:rPr>
          <w:sz w:val="28"/>
        </w:rPr>
      </w:pPr>
      <w:r>
        <w:rPr>
          <w:sz w:val="28"/>
        </w:rPr>
        <w:t>органи</w:t>
      </w:r>
      <w:r>
        <w:rPr>
          <w:sz w:val="28"/>
        </w:rPr>
        <w:t>зация, реализующая проект, не находится в процессе реорганизации, ликвидации, в отношении ее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w:t>
      </w:r>
    </w:p>
    <w:p w14:paraId="D5000000">
      <w:pPr>
        <w:widowControl w:val="0"/>
        <w:spacing w:before="0" w:line="240" w:lineRule="auto"/>
        <w:ind w:firstLine="709" w:left="0"/>
        <w:jc w:val="both"/>
        <w:rPr>
          <w:sz w:val="28"/>
        </w:rPr>
      </w:pPr>
      <w:r>
        <w:rPr>
          <w:sz w:val="28"/>
        </w:rPr>
        <w:t xml:space="preserve">организация, реализующая проект, </w:t>
      </w:r>
      <w:r>
        <w:rPr>
          <w:sz w:val="28"/>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федеральными законами, отдельными решениями Правительства Российской Федерации и (или) порядком, определенным Правительством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r>
        <w:rPr>
          <w:sz w:val="28"/>
        </w:rPr>
        <w:t>;</w:t>
      </w:r>
    </w:p>
    <w:p w14:paraId="D6000000">
      <w:pPr>
        <w:widowControl w:val="0"/>
        <w:spacing w:before="0" w:line="240" w:lineRule="auto"/>
        <w:ind w:firstLine="709" w:left="0"/>
        <w:jc w:val="both"/>
        <w:rPr>
          <w:sz w:val="28"/>
        </w:rPr>
      </w:pPr>
      <w:r>
        <w:rPr>
          <w:sz w:val="28"/>
        </w:rPr>
        <w:t>организация, реализующая проект (взаимозависимые с ней лица), не получает из бюджета бюджетной системы Р</w:t>
      </w:r>
      <w:r>
        <w:rPr>
          <w:sz w:val="28"/>
        </w:rPr>
        <w:t>оссийской Федерации, в том числе на основании иных нормативных правовых актов, средства на возмещение затрат, указанных в пункте 10 настоящего Порядка, по тому же проекту, затраты в отношении которого подлежат возмещению, а также организация, реализующая проект (взаимозависимые с ней лица), не получала ранее средства из бюджетов бюджетной системы Российской Федерации на возмещение затрат, указанных в пункте 10 настоящего Порядка;</w:t>
      </w:r>
    </w:p>
    <w:p w14:paraId="D7000000">
      <w:pPr>
        <w:widowControl w:val="0"/>
        <w:spacing w:before="0" w:line="240" w:lineRule="auto"/>
        <w:ind w:firstLine="709" w:left="0"/>
        <w:jc w:val="both"/>
        <w:rPr>
          <w:sz w:val="28"/>
        </w:rPr>
      </w:pPr>
      <w:r>
        <w:rPr>
          <w:sz w:val="28"/>
        </w:rPr>
        <w:t>организация, реализующая проект, является стороной соглашения о защите и поощрении капиталовложений;</w:t>
      </w:r>
    </w:p>
    <w:p w14:paraId="D8000000">
      <w:pPr>
        <w:widowControl w:val="0"/>
        <w:spacing w:before="0" w:line="240" w:lineRule="auto"/>
        <w:ind w:firstLine="709" w:left="0"/>
        <w:jc w:val="both"/>
        <w:rPr>
          <w:sz w:val="28"/>
        </w:rPr>
      </w:pPr>
      <w:r>
        <w:rPr>
          <w:sz w:val="28"/>
        </w:rPr>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организации, реализующей проект.</w:t>
      </w:r>
    </w:p>
    <w:p w14:paraId="D9000000">
      <w:pPr>
        <w:widowControl w:val="0"/>
        <w:spacing w:before="0" w:line="240" w:lineRule="auto"/>
        <w:ind w:firstLine="709" w:left="0"/>
        <w:jc w:val="both"/>
        <w:rPr>
          <w:sz w:val="28"/>
        </w:rPr>
      </w:pPr>
      <w:r>
        <w:rPr>
          <w:sz w:val="28"/>
        </w:rPr>
        <w:t>23. Уполномоченный орган в течение 60 рабочих дней с даты представления в соответствии с пунктом 19 настоящего Порядка организацией, реализующей проект, заявления, информации и документов об объектах инфраструктуры, затраты в отношении которых подлежат возмещению, рассматривает их и осуществляет проверку соответствия организации, реализующей проект, требованиям, установленным настоящим Порядком.</w:t>
      </w:r>
    </w:p>
    <w:p w14:paraId="DA000000">
      <w:pPr>
        <w:widowControl w:val="0"/>
        <w:spacing w:before="0" w:line="240" w:lineRule="auto"/>
        <w:ind w:firstLine="709" w:left="0"/>
        <w:jc w:val="both"/>
        <w:rPr>
          <w:sz w:val="28"/>
        </w:rPr>
      </w:pPr>
      <w:r>
        <w:rPr>
          <w:sz w:val="28"/>
        </w:rPr>
        <w:t>24. Уполномоченный орган путем направления запросов в заинтересованные органы власти и организации осуществляет:</w:t>
      </w:r>
    </w:p>
    <w:p w14:paraId="DB000000">
      <w:pPr>
        <w:widowControl w:val="0"/>
        <w:spacing w:before="0" w:line="240" w:lineRule="auto"/>
        <w:ind w:firstLine="709" w:left="0"/>
        <w:jc w:val="both"/>
        <w:rPr>
          <w:sz w:val="28"/>
        </w:rPr>
      </w:pPr>
      <w:r>
        <w:rPr>
          <w:sz w:val="28"/>
        </w:rPr>
        <w:t>а) проверку организации, реализующей проект, на соответствие требованиям, указанным в пункте 22 настоящего Порядка;</w:t>
      </w:r>
    </w:p>
    <w:p w14:paraId="DC000000">
      <w:pPr>
        <w:widowControl w:val="0"/>
        <w:spacing w:before="0" w:line="240" w:lineRule="auto"/>
        <w:ind w:firstLine="709" w:left="0"/>
        <w:jc w:val="both"/>
        <w:rPr>
          <w:sz w:val="28"/>
        </w:rPr>
      </w:pPr>
      <w:r>
        <w:rPr>
          <w:sz w:val="28"/>
        </w:rPr>
        <w:t>б) проверку в соответствии с частью 18 статьи 15 Федерального закона наличия источников финансового обеспечения затрат публично-правового образования на обслуживание, содержание, эксплуатацию (с возможностью ликвидации) объектов сопутствующей инфраструктуры, создаваемой в рамках реализации инвестиционного проекта, передаваемых в государственную (муниципальную) собственность или поступающих в собственность регулируемой организации, путем проверки наличия средств областного бюджета на обслуживание, содержание, эксплуатацию (с возможностью ликвидации) объектов сопутствующей инфраструктуры (в случае применимости), проверку готовности балансодержателя принять на баланс созданный объект инфраструктуры (в случае применимости);</w:t>
      </w:r>
    </w:p>
    <w:p w14:paraId="DD000000">
      <w:pPr>
        <w:widowControl w:val="0"/>
        <w:spacing w:before="0" w:line="240" w:lineRule="auto"/>
        <w:ind w:firstLine="709" w:left="0"/>
        <w:jc w:val="both"/>
        <w:rPr>
          <w:sz w:val="28"/>
        </w:rPr>
      </w:pPr>
      <w:r>
        <w:rPr>
          <w:sz w:val="28"/>
        </w:rPr>
        <w:t>в) проверку отсутствия проектов создания объектов инфраструктуры в инвестиционных программах регулируемых организаций и (или) в применимых случаях в программах перспективного развития отдельных отраслей экономики, затраты на создание которых подлежат возмещению (за исключением случая создания объекта инфраструктуры, включенного в инвестиционную программу регулируемой организации, финансовое обеспечение которого полностью или частично осуществляется за счет средств организации, реализующей проект), проверку готовности принять на баланс созданный объект инфраструктуры (в случае применимости);</w:t>
      </w:r>
    </w:p>
    <w:p w14:paraId="DE000000">
      <w:pPr>
        <w:widowControl w:val="0"/>
        <w:spacing w:before="0" w:line="240" w:lineRule="auto"/>
        <w:ind w:firstLine="709" w:left="0"/>
        <w:jc w:val="both"/>
        <w:rPr>
          <w:sz w:val="28"/>
        </w:rPr>
      </w:pPr>
      <w:r>
        <w:rPr>
          <w:sz w:val="28"/>
        </w:rPr>
        <w:t>г) проверку готовности регулируемой организации осуществить финансовое обеспечение создания объекта инфраструктуры за счет собстве</w:t>
      </w:r>
      <w:r>
        <w:rPr>
          <w:sz w:val="28"/>
        </w:rPr>
        <w:t>нных средств в рамках инвестиционной программы в сроки, необходимые для реализации проекта, в порядке, установленном законодательством Российской Федерации в соответствующей отрасли экономики (при наличии);</w:t>
      </w:r>
    </w:p>
    <w:p w14:paraId="DF000000">
      <w:pPr>
        <w:widowControl w:val="0"/>
        <w:spacing w:before="0" w:line="240" w:lineRule="auto"/>
        <w:ind w:firstLine="709" w:left="0"/>
        <w:jc w:val="both"/>
        <w:rPr>
          <w:sz w:val="28"/>
        </w:rPr>
      </w:pPr>
      <w:r>
        <w:rPr>
          <w:sz w:val="28"/>
        </w:rPr>
        <w:t xml:space="preserve">д) </w:t>
      </w:r>
      <w:r>
        <w:rPr>
          <w:sz w:val="28"/>
        </w:rPr>
        <w:t>проверку отсутствия (наличия) средств, полученных из бюджетов бюджетной системы Российской Федерации, в случае предоставления мер прямой государственной поддержки в отношении проекта, по которому предполагается предоставление меры государственной поддержки, предусмотренной частью 1 статьи 15 Федерального закона;</w:t>
      </w:r>
    </w:p>
    <w:p w14:paraId="E0000000">
      <w:pPr>
        <w:widowControl w:val="0"/>
        <w:spacing w:before="0" w:line="240" w:lineRule="auto"/>
        <w:ind w:firstLine="709" w:left="0"/>
        <w:jc w:val="both"/>
        <w:rPr>
          <w:sz w:val="28"/>
        </w:rPr>
      </w:pPr>
      <w:r>
        <w:rPr>
          <w:sz w:val="28"/>
        </w:rPr>
        <w:t>е) проверку заключения федерального органа исполнительной власти, осуществляющего функции по контролю и надзору в области налогов и сборов, о не выявленных (выявленных) при проведении налогового контроля фактах искажения организацией, реализующей проект, размеров фактически понесенных затрат, предусмотренных пунктом 10 настоящего Порядка, а также об отсутствии (о наличии) неисполненных мотивированных мнений, вынесенных в отношении организации, реализующей проект, в рамках налогового мониторинга по вопросам правильности определения размеров фактически понесенных затрат, предусмотренных пунктом 10 настоящего Порядка;</w:t>
      </w:r>
    </w:p>
    <w:p w14:paraId="E1000000">
      <w:pPr>
        <w:widowControl w:val="0"/>
        <w:spacing w:before="0" w:line="240" w:lineRule="auto"/>
        <w:ind w:firstLine="709" w:left="0"/>
        <w:jc w:val="both"/>
        <w:rPr>
          <w:sz w:val="28"/>
        </w:rPr>
      </w:pPr>
      <w:r>
        <w:rPr>
          <w:sz w:val="28"/>
        </w:rPr>
        <w:t xml:space="preserve">ж) проверку заключения Федерального казначейства о фактически понесенных затратах, </w:t>
      </w:r>
      <w:r>
        <w:rPr>
          <w:sz w:val="28"/>
        </w:rPr>
        <w:t>предусмотренных пунктом 10 настоящего Порядка</w:t>
      </w:r>
      <w:r>
        <w:rPr>
          <w:sz w:val="28"/>
        </w:rPr>
        <w:t>;</w:t>
      </w:r>
    </w:p>
    <w:p w14:paraId="E2000000">
      <w:pPr>
        <w:spacing w:before="0" w:line="240" w:lineRule="auto"/>
        <w:ind w:firstLine="709" w:left="0"/>
        <w:jc w:val="both"/>
        <w:rPr>
          <w:sz w:val="28"/>
        </w:rPr>
      </w:pPr>
      <w:r>
        <w:rPr>
          <w:sz w:val="28"/>
        </w:rPr>
        <w:t>з) проверку фактически понесенных затрат организации, реализующей проект, в рамках проекта;</w:t>
      </w:r>
    </w:p>
    <w:p w14:paraId="E3000000">
      <w:pPr>
        <w:spacing w:before="0" w:line="240" w:lineRule="auto"/>
        <w:ind w:firstLine="709" w:left="0"/>
        <w:jc w:val="both"/>
        <w:rPr>
          <w:sz w:val="28"/>
        </w:rPr>
      </w:pPr>
      <w:r>
        <w:rPr>
          <w:sz w:val="28"/>
        </w:rPr>
        <w:t>и) проверку наличия действующего договора о комплексном развитии территории (если применимо).</w:t>
      </w:r>
    </w:p>
    <w:p w14:paraId="E4000000">
      <w:pPr>
        <w:widowControl w:val="0"/>
        <w:spacing w:before="0" w:line="240" w:lineRule="auto"/>
        <w:ind w:firstLine="709" w:left="0"/>
        <w:jc w:val="both"/>
        <w:rPr>
          <w:sz w:val="28"/>
        </w:rPr>
      </w:pPr>
      <w:r>
        <w:rPr>
          <w:sz w:val="28"/>
        </w:rPr>
        <w:t xml:space="preserve">25. Запросы, указанные в пункте 24 настоящего Порядка, подготавливаются уполномоченным органом в течение 5 рабочих дней со дня представления организацией, реализующей проект, заявления, документов и материалов, в соответствии с пунктами </w:t>
      </w:r>
      <w:r>
        <w:rPr>
          <w:sz w:val="28"/>
        </w:rPr>
        <w:t>19 - 21</w:t>
      </w:r>
      <w:r>
        <w:rPr>
          <w:sz w:val="28"/>
        </w:rPr>
        <w:t xml:space="preserve"> настоящего Порядка.</w:t>
      </w:r>
    </w:p>
    <w:p w14:paraId="E5000000">
      <w:pPr>
        <w:widowControl w:val="0"/>
        <w:spacing w:before="0" w:line="240" w:lineRule="auto"/>
        <w:ind w:firstLine="709" w:left="0"/>
        <w:jc w:val="both"/>
        <w:rPr>
          <w:sz w:val="28"/>
        </w:rPr>
      </w:pPr>
      <w:r>
        <w:rPr>
          <w:sz w:val="28"/>
        </w:rPr>
        <w:t>Ответы на запросы, указанные в пункте 24 настоящего Порядка, должны быть направлены заинтересованными органами власти не позднее 10 рабочих дней со дня поступления соответствующего запроса, а организациям рекомендуется направлять такие ответы в указанный в запросе срок.</w:t>
      </w:r>
    </w:p>
    <w:p w14:paraId="E6000000">
      <w:pPr>
        <w:widowControl w:val="0"/>
        <w:spacing w:before="0" w:line="240" w:lineRule="auto"/>
        <w:ind w:firstLine="709" w:left="0"/>
        <w:jc w:val="both"/>
        <w:rPr>
          <w:sz w:val="28"/>
        </w:rPr>
      </w:pPr>
      <w:r>
        <w:rPr>
          <w:sz w:val="28"/>
        </w:rPr>
        <w:t>Уполномоченный орган с учетом поступивших ответов в течение 15 рабочих дней со дня поступления документов, указанных в абзаце втором настоящего пункта, проводит комплексный анализ документов и направляет его в соответствии с постановлением Правительства Ивановской области от 09.01.2018 № 1-п «О создании комиссии по инвестиционным проектам, реализуемым на территории Ивановской области» в Департамент экономического развития и торговли Ивановской области для рассмотрения комиссией по инвестиционным проектам, реализуемым на территории Ивановской области.</w:t>
      </w:r>
    </w:p>
    <w:p w14:paraId="E7000000">
      <w:pPr>
        <w:widowControl w:val="0"/>
        <w:spacing w:before="0" w:line="240" w:lineRule="auto"/>
        <w:ind w:firstLine="709" w:left="0"/>
        <w:jc w:val="both"/>
        <w:rPr>
          <w:sz w:val="28"/>
        </w:rPr>
      </w:pPr>
      <w:r>
        <w:rPr>
          <w:sz w:val="28"/>
        </w:rPr>
        <w:t>Комиссией по инвестиционным проектам, реализуемым на территории Ивановской области, принимается решение о предоставлении или об отказе в предоставлении меры поддержки в соответствии с Законом Ивановской области от 17.05.2007 № 62-ОЗ «О государственной поддержке инвестиционной деятельности, осуществляемой в форме капитальных вложений, на территории Ивановской области» в течение 23 рабочих дней с момента поступления документов от уполномоченного органа.</w:t>
      </w:r>
    </w:p>
    <w:p w14:paraId="E8000000">
      <w:pPr>
        <w:widowControl w:val="0"/>
        <w:spacing w:before="0" w:line="240" w:lineRule="auto"/>
        <w:ind w:firstLine="709" w:left="0"/>
        <w:jc w:val="both"/>
        <w:rPr>
          <w:sz w:val="28"/>
        </w:rPr>
      </w:pPr>
      <w:r>
        <w:rPr>
          <w:sz w:val="28"/>
        </w:rPr>
        <w:t>Уполномоченный орган на основании решения комиссии по инвестиционным проектам, реализуемым на территории Ивановской области, принимает решение о предоставлении или об отказе в предоставлении субсидии в течение 7 рабочих дней со дня принятия соответствующего решения комиссией по инвестиционным проектам, реализуемым на территории Ивановской области.</w:t>
      </w:r>
    </w:p>
    <w:p w14:paraId="E9000000">
      <w:pPr>
        <w:widowControl w:val="0"/>
        <w:spacing w:before="0" w:line="240" w:lineRule="auto"/>
        <w:ind w:firstLine="709" w:left="0"/>
        <w:jc w:val="both"/>
        <w:rPr>
          <w:sz w:val="28"/>
        </w:rPr>
      </w:pPr>
      <w:r>
        <w:rPr>
          <w:sz w:val="28"/>
        </w:rPr>
        <w:t>О принятом решении уполномоченный орган не позднее 1 ноября года, предшествующего году предполагаемой даты начала выплаты средств субсидии, информирует организацию, реализующую проект, в письменной форме в течение 3 рабочих дней со дня принятия решения (в случае принятия решения об отказе в предоставлении субсидии дополнительно указываются основания отказа).</w:t>
      </w:r>
    </w:p>
    <w:p w14:paraId="EA000000">
      <w:pPr>
        <w:widowControl w:val="0"/>
        <w:spacing w:before="0" w:line="240" w:lineRule="auto"/>
        <w:ind w:firstLine="709" w:left="0"/>
        <w:jc w:val="both"/>
        <w:rPr>
          <w:sz w:val="28"/>
        </w:rPr>
      </w:pPr>
      <w:r>
        <w:rPr>
          <w:sz w:val="28"/>
        </w:rPr>
        <w:t>26. Основаниями для отказа в предоставлении субсидии являются:</w:t>
      </w:r>
    </w:p>
    <w:p w14:paraId="EB000000">
      <w:pPr>
        <w:widowControl w:val="0"/>
        <w:spacing w:before="0" w:line="240" w:lineRule="auto"/>
        <w:ind w:firstLine="709" w:left="0"/>
        <w:jc w:val="both"/>
        <w:rPr>
          <w:sz w:val="28"/>
        </w:rPr>
      </w:pPr>
      <w:r>
        <w:rPr>
          <w:sz w:val="28"/>
        </w:rPr>
        <w:t>а) несоответствие организации, реализующей проект, на дату подачи заявления требованиям, установленным пунктом 22 настоящего Порядка;</w:t>
      </w:r>
    </w:p>
    <w:p w14:paraId="EC000000">
      <w:pPr>
        <w:widowControl w:val="0"/>
        <w:spacing w:before="0" w:line="240" w:lineRule="auto"/>
        <w:ind w:firstLine="709" w:left="0"/>
        <w:jc w:val="both"/>
        <w:rPr>
          <w:sz w:val="28"/>
        </w:rPr>
      </w:pPr>
      <w:r>
        <w:rPr>
          <w:sz w:val="28"/>
        </w:rPr>
        <w:t>б) несоответствие проекта на дату подачи заявления требованиям, установленным пунктом 18 настоящего Порядка;</w:t>
      </w:r>
    </w:p>
    <w:p w14:paraId="ED000000">
      <w:pPr>
        <w:widowControl w:val="0"/>
        <w:spacing w:before="0" w:line="240" w:lineRule="auto"/>
        <w:ind w:firstLine="709" w:left="0"/>
        <w:jc w:val="both"/>
        <w:rPr>
          <w:sz w:val="28"/>
        </w:rPr>
      </w:pPr>
      <w:r>
        <w:rPr>
          <w:sz w:val="28"/>
        </w:rPr>
        <w:t>в) несоответствие представленных организацией, реализующей проект, документов требованиям, указанным в пунктах 19 - 21 настоящего Порядка, или непредставление (представление не в полном объеме) указанных документов;</w:t>
      </w:r>
    </w:p>
    <w:p w14:paraId="EE000000">
      <w:pPr>
        <w:widowControl w:val="0"/>
        <w:spacing w:before="0" w:line="240" w:lineRule="auto"/>
        <w:ind w:firstLine="709" w:left="0"/>
        <w:jc w:val="both"/>
        <w:rPr>
          <w:sz w:val="28"/>
        </w:rPr>
      </w:pPr>
      <w:r>
        <w:rPr>
          <w:sz w:val="28"/>
        </w:rPr>
        <w:t>г) установление факта недостоверности предоставленной информации.</w:t>
      </w:r>
    </w:p>
    <w:p w14:paraId="EF000000">
      <w:pPr>
        <w:widowControl w:val="0"/>
        <w:spacing w:before="0" w:line="240" w:lineRule="auto"/>
        <w:ind w:firstLine="709" w:left="0"/>
        <w:jc w:val="both"/>
        <w:rPr>
          <w:sz w:val="28"/>
        </w:rPr>
      </w:pPr>
      <w:r>
        <w:rPr>
          <w:sz w:val="28"/>
        </w:rPr>
        <w:t>27. Не позднее 15 рабочих дней после принятия решения о предоставлении субсидии уполномоченный орган и организация, реализующая проект, заключают в установленном порядке соглашение о предоставлении субсидии.</w:t>
      </w:r>
    </w:p>
    <w:p w14:paraId="F0000000">
      <w:pPr>
        <w:widowControl w:val="0"/>
        <w:spacing w:before="0" w:line="240" w:lineRule="auto"/>
        <w:ind w:firstLine="709" w:left="0"/>
        <w:jc w:val="both"/>
        <w:rPr>
          <w:sz w:val="28"/>
        </w:rPr>
      </w:pPr>
      <w:r>
        <w:rPr>
          <w:sz w:val="28"/>
        </w:rPr>
        <w:t>28. Уполномоченный орган на основании представленных организацией, реализующей проект, сведений о прогнозируемом объеме налогов и обязательных платежей, подлежащих уплате в областной бюджет в связи с реализацией проекта, а также на основании результатов мониторинга начиная с финансового года, предшествующего году ввода в эксплуатацию (начала использования) объекта проекта, в установленном порядке осуществляет внесение предложений об объеме государственной поддержки, подлежащей возмещению в соответствии с настоящим Порядком, при составлении проекта областного бюджета на очередной финансовый год и плановый период.</w:t>
      </w:r>
    </w:p>
    <w:p w14:paraId="F1000000">
      <w:pPr>
        <w:widowControl w:val="0"/>
        <w:spacing w:before="0" w:line="240" w:lineRule="auto"/>
        <w:ind w:firstLine="709" w:left="0"/>
        <w:jc w:val="both"/>
        <w:rPr>
          <w:sz w:val="28"/>
        </w:rPr>
      </w:pPr>
      <w:r>
        <w:rPr>
          <w:sz w:val="28"/>
        </w:rPr>
        <w:t>29. Субсидия предоставляется организации, реализующей проект, на основании заключенного с уполномоченным органом соглашения о предоставлении субсидии, предусматривающего в том числе:</w:t>
      </w:r>
    </w:p>
    <w:p w14:paraId="F2000000">
      <w:pPr>
        <w:widowControl w:val="0"/>
        <w:spacing w:before="0" w:line="240" w:lineRule="auto"/>
        <w:ind w:firstLine="709" w:left="0"/>
        <w:jc w:val="both"/>
        <w:rPr>
          <w:sz w:val="28"/>
        </w:rPr>
      </w:pPr>
      <w:r>
        <w:rPr>
          <w:sz w:val="28"/>
        </w:rPr>
        <w:t>а) цели и условия предоставления субсидии, установленные настоящим Порядком, и размер субсидии;</w:t>
      </w:r>
    </w:p>
    <w:p w14:paraId="F3000000">
      <w:pPr>
        <w:widowControl w:val="0"/>
        <w:spacing w:before="0" w:line="240" w:lineRule="auto"/>
        <w:ind w:firstLine="709" w:left="0"/>
        <w:jc w:val="both"/>
        <w:rPr>
          <w:sz w:val="28"/>
        </w:rPr>
      </w:pPr>
      <w:r>
        <w:rPr>
          <w:sz w:val="28"/>
        </w:rPr>
        <w:t>б) права и обязанности сторон соглашения о предоставлении субсидии;</w:t>
      </w:r>
    </w:p>
    <w:p w14:paraId="F4000000">
      <w:pPr>
        <w:widowControl w:val="0"/>
        <w:spacing w:before="0" w:line="240" w:lineRule="auto"/>
        <w:ind w:firstLine="709" w:left="0"/>
        <w:jc w:val="both"/>
        <w:rPr>
          <w:sz w:val="28"/>
        </w:rPr>
      </w:pPr>
      <w:r>
        <w:rPr>
          <w:sz w:val="28"/>
        </w:rPr>
        <w:t xml:space="preserve">в) </w:t>
      </w:r>
      <w:r>
        <w:rPr>
          <w:sz w:val="28"/>
        </w:rPr>
        <w:t xml:space="preserve">согласие организации, реализующей проект, на осуществление </w:t>
      </w:r>
      <w:r>
        <w:rPr>
          <w:sz w:val="28"/>
        </w:rPr>
        <w:t>уполномоченным органом</w:t>
      </w:r>
      <w:r>
        <w:rPr>
          <w:sz w:val="28"/>
        </w:rPr>
        <w:t xml:space="preserve"> проверок соблюдения порядка и условий предоставления субсидии, в том числе в части достижения результатов предоставления субсидии, а также проверок органами государственного фи</w:t>
      </w:r>
      <w:r>
        <w:rPr>
          <w:sz w:val="28"/>
        </w:rPr>
        <w:t>нансового контроля в соответствии со статьями 268.1 и 269.2 Бюджетного кодекса Российской Федерации</w:t>
      </w:r>
      <w:r>
        <w:rPr>
          <w:sz w:val="28"/>
        </w:rPr>
        <w:t>;</w:t>
      </w:r>
    </w:p>
    <w:p w14:paraId="F5000000">
      <w:pPr>
        <w:widowControl w:val="0"/>
        <w:spacing w:before="0" w:line="240" w:lineRule="auto"/>
        <w:ind w:firstLine="709" w:left="0"/>
        <w:jc w:val="both"/>
        <w:rPr>
          <w:sz w:val="28"/>
        </w:rPr>
      </w:pPr>
      <w:r>
        <w:rPr>
          <w:sz w:val="28"/>
        </w:rPr>
        <w:t>г) условия расторжения соглашения о предоставлении субсидии, включая условие его одностороннего расторжения уполномоченным органом в случае нарушения организацией, реализующей проект, условий предоставления субсидии;</w:t>
      </w:r>
    </w:p>
    <w:p w14:paraId="F6000000">
      <w:pPr>
        <w:widowControl w:val="0"/>
        <w:spacing w:before="0" w:line="240" w:lineRule="auto"/>
        <w:ind w:firstLine="709" w:left="0"/>
        <w:jc w:val="both"/>
        <w:rPr>
          <w:sz w:val="28"/>
        </w:rPr>
      </w:pPr>
      <w:r>
        <w:rPr>
          <w:sz w:val="28"/>
        </w:rPr>
        <w:t xml:space="preserve">д) </w:t>
      </w:r>
      <w:r>
        <w:rPr>
          <w:sz w:val="28"/>
        </w:rPr>
        <w:t>порядок возврата субсидии в областной бюджет в случае нарушения условий, установленных при предоставлении субсидии</w:t>
      </w:r>
      <w:r>
        <w:rPr>
          <w:sz w:val="28"/>
        </w:rPr>
        <w:t>;</w:t>
      </w:r>
    </w:p>
    <w:p w14:paraId="F7000000">
      <w:pPr>
        <w:spacing w:before="0" w:line="240" w:lineRule="auto"/>
        <w:ind w:firstLine="709" w:left="0"/>
        <w:jc w:val="both"/>
        <w:rPr>
          <w:sz w:val="28"/>
        </w:rPr>
      </w:pPr>
      <w:r>
        <w:rPr>
          <w:sz w:val="28"/>
        </w:rPr>
        <w:t>е) обязательство организации, реализующей проект, в случае расторжения соглашения о защите и поощрении капиталовложений по основаниям, предусмотренным частями 13 и 14 статьи 11 Федерального закона, или признания такого соглашения недействительным в соответствии с гражданским законодательством, а также в случае нарушения условий предоставления субсидии, установленных при предоставлении субсидии, возвратить в областной бюджет средства в размере предоставленной субсидии (в размере, использованном с допущением нарушения);</w:t>
      </w:r>
    </w:p>
    <w:p w14:paraId="F8000000">
      <w:pPr>
        <w:widowControl w:val="0"/>
        <w:spacing w:before="0" w:line="240" w:lineRule="auto"/>
        <w:ind w:firstLine="709" w:left="0"/>
        <w:jc w:val="both"/>
        <w:rPr>
          <w:sz w:val="28"/>
        </w:rPr>
      </w:pPr>
      <w:r>
        <w:rPr>
          <w:sz w:val="28"/>
        </w:rPr>
        <w:t>ж) запрет приобретения организацией, реализующей проект, за счет полученных из областного бюджета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связанных с достижением целей предоставления субсидии;</w:t>
      </w:r>
    </w:p>
    <w:p w14:paraId="F9000000">
      <w:pPr>
        <w:widowControl w:val="0"/>
        <w:spacing w:before="0" w:line="240" w:lineRule="auto"/>
        <w:ind w:firstLine="709" w:left="0"/>
        <w:jc w:val="both"/>
        <w:rPr>
          <w:sz w:val="28"/>
        </w:rPr>
      </w:pPr>
      <w:r>
        <w:rPr>
          <w:sz w:val="28"/>
        </w:rPr>
        <w:t>з) положения, предусматривающие обязанность организации, реализующей проект, заключить дополнительные соглашения к договорам банковского счета, заключенным с кредитными организациями, содержащие условия о возможности бесспорного списания по требованию уполномоченного органа денежных средств со счетов, открытых юридическому лицу в указанных кредитных организациях, в размере, не превышающем размера субсидии, в случае нарушения условий, установленных при предоставлении субсидии, а также в случае нарушения условий соглашения о предоставлении субсидии;</w:t>
      </w:r>
    </w:p>
    <w:p w14:paraId="FA000000">
      <w:pPr>
        <w:widowControl w:val="0"/>
        <w:spacing w:before="0" w:line="240" w:lineRule="auto"/>
        <w:ind w:firstLine="709" w:left="0"/>
        <w:jc w:val="both"/>
        <w:rPr>
          <w:sz w:val="28"/>
        </w:rPr>
      </w:pPr>
      <w:r>
        <w:rPr>
          <w:sz w:val="28"/>
        </w:rPr>
        <w:t xml:space="preserve">и) </w:t>
      </w:r>
      <w:r>
        <w:rPr>
          <w:sz w:val="28"/>
        </w:rPr>
        <w:t>порядок, формы и сроки представления отчетности о выполнении условий соглашения о предоставлении субсидии</w:t>
      </w:r>
      <w:r>
        <w:rPr>
          <w:sz w:val="28"/>
        </w:rPr>
        <w:t>;</w:t>
      </w:r>
    </w:p>
    <w:p w14:paraId="FB000000">
      <w:pPr>
        <w:spacing w:before="0" w:line="240" w:lineRule="auto"/>
        <w:ind w:firstLine="709" w:left="0"/>
        <w:jc w:val="both"/>
        <w:rPr>
          <w:sz w:val="28"/>
        </w:rPr>
      </w:pPr>
      <w:r>
        <w:rPr>
          <w:sz w:val="28"/>
        </w:rPr>
        <w:t>к) обязательство организации, реализующей проект, соблюдать порядок и условия предоставления субсидии, установленные настоящим Порядком.</w:t>
      </w:r>
    </w:p>
    <w:p w14:paraId="FC000000">
      <w:pPr>
        <w:widowControl w:val="0"/>
        <w:spacing w:before="0" w:line="240" w:lineRule="auto"/>
        <w:ind w:firstLine="709" w:left="0"/>
        <w:jc w:val="both"/>
        <w:rPr>
          <w:sz w:val="28"/>
        </w:rPr>
      </w:pPr>
      <w:r>
        <w:rPr>
          <w:sz w:val="28"/>
        </w:rPr>
        <w:t>30. Для перечисления субсидии организация, реализующая проект, направляет заявление о перечислении субсидии в уполномоченный орган не чаще 1</w:t>
      </w:r>
      <w:r>
        <w:rPr>
          <w:sz w:val="28"/>
        </w:rPr>
        <w:t xml:space="preserve"> раза в год не позднее 1 апреля года, в котором планируется предоставление субсидии, заявление о перечислении субсидии, которое составляется в свободной форме и включает в себя р</w:t>
      </w:r>
      <w:r>
        <w:rPr>
          <w:sz w:val="28"/>
        </w:rPr>
        <w:t>асчет объема возмещения затрат</w:t>
      </w:r>
      <w:r>
        <w:rPr>
          <w:sz w:val="28"/>
        </w:rPr>
        <w:t>, выполненный в соответствии с приложением к настоящему Порядку, с учетом мер прямой финансовой государственной поддержки за отчетный финансовый год, подписывается руководителем и главным бухгалтером (при наличии) организации, реализующей проект, скрепляются печатью (при наличии). В заявлении указываются сведения об организации, реализующей проект: полное наименование в соответствии с учредительными документами, ИНН, КПП, ОГРН, дата государственной регистрации, юридический и фактический адрес, реквизиты для перечисления субсидии (расчетный счет, наименование кредитной организации, БИК, корре</w:t>
      </w:r>
      <w:r>
        <w:rPr>
          <w:sz w:val="28"/>
        </w:rPr>
        <w:t>спондентский счет, ОКТМО).</w:t>
      </w:r>
    </w:p>
    <w:p w14:paraId="FD000000">
      <w:pPr>
        <w:widowControl w:val="0"/>
        <w:spacing w:before="0" w:line="240" w:lineRule="auto"/>
        <w:ind w:firstLine="709" w:left="0"/>
        <w:jc w:val="both"/>
        <w:rPr>
          <w:sz w:val="28"/>
        </w:rPr>
      </w:pPr>
      <w:r>
        <w:rPr>
          <w:sz w:val="28"/>
        </w:rPr>
        <w:t>31. Предоставление субсидии организации, реализующей проект, осуществляется в году, следующем за годом подачи документов, указанных в пункте 19 настоящего Порядка.</w:t>
      </w:r>
    </w:p>
    <w:p w14:paraId="FE000000">
      <w:pPr>
        <w:widowControl w:val="0"/>
        <w:spacing w:before="0" w:line="240" w:lineRule="auto"/>
        <w:ind w:firstLine="709" w:left="0"/>
        <w:jc w:val="both"/>
        <w:rPr>
          <w:sz w:val="28"/>
        </w:rPr>
      </w:pPr>
      <w:r>
        <w:rPr>
          <w:sz w:val="28"/>
        </w:rPr>
        <w:t>Перечисление субсидии осуществляется в течение 3 месяцев с момента подачи заявления о перечислении субсидии, указанного в пункте 30 настоящего Порядка, в размере, определенном с учетом положений пункта 16 настоящего Порядка, не превышающем размера обязательных платежей, фактически уплаченных организацией, реализующей проект, в областной бюд</w:t>
      </w:r>
      <w:r>
        <w:rPr>
          <w:sz w:val="28"/>
        </w:rPr>
        <w:t>жет в связи с реализацией проекта в отчетном финансовом году.</w:t>
      </w:r>
    </w:p>
    <w:p w14:paraId="FF000000">
      <w:pPr>
        <w:spacing w:before="0" w:line="240" w:lineRule="auto"/>
        <w:ind w:firstLine="709" w:left="0"/>
        <w:jc w:val="both"/>
        <w:rPr>
          <w:sz w:val="28"/>
        </w:rPr>
      </w:pPr>
      <w:r>
        <w:rPr>
          <w:sz w:val="28"/>
        </w:rPr>
        <w:t>Субсидия предоставляется ежегодно при предоставлении организацией, реализующей проект, заявления, указанного в пункте 31 настоящего Порядка, до истечения срока возмещения затрат или исчерпания объема возмещения затрат (в зависимости от того, какая дата наступит ранее). В случае если в году, следующем за годом предоставления субсидии, на основании сведений об уплаченных организацией, реализующей проект, налогах и иных обязательных платежах в связи с реализацией проекта, в том числе уточненных налоговых и таможенных деклараций, выявлена переплата, организация, реализующая проект, обязана вернуть излишне полученные средства в бюджет Ивановской области.</w:t>
      </w:r>
    </w:p>
    <w:p w14:paraId="00010000">
      <w:pPr>
        <w:widowControl w:val="0"/>
        <w:spacing w:before="0" w:line="240" w:lineRule="auto"/>
        <w:ind w:firstLine="709" w:left="0"/>
        <w:jc w:val="both"/>
        <w:rPr>
          <w:sz w:val="28"/>
        </w:rPr>
      </w:pPr>
      <w:r>
        <w:rPr>
          <w:sz w:val="28"/>
        </w:rPr>
        <w:t>32. Субсидия перечисляется на счет, открытый организации, реализующей проект, в кредитной организации, если иное не установлено иными нормативными правовыми актами Ивановской области или соглаше</w:t>
      </w:r>
      <w:r>
        <w:rPr>
          <w:sz w:val="28"/>
        </w:rPr>
        <w:t>нием о предоставлении субсидии.</w:t>
      </w:r>
    </w:p>
    <w:p w14:paraId="01010000">
      <w:pPr>
        <w:widowControl w:val="0"/>
        <w:spacing w:before="0" w:line="240" w:lineRule="auto"/>
        <w:ind w:firstLine="709" w:left="0"/>
        <w:jc w:val="both"/>
        <w:rPr>
          <w:sz w:val="28"/>
        </w:rPr>
      </w:pPr>
      <w:r>
        <w:rPr>
          <w:sz w:val="28"/>
        </w:rPr>
        <w:t>33.</w:t>
      </w:r>
      <w:r>
        <w:rPr>
          <w:sz w:val="28"/>
        </w:rPr>
        <w:t xml:space="preserve"> </w:t>
      </w:r>
      <w:r>
        <w:rPr>
          <w:sz w:val="28"/>
        </w:rPr>
        <w:t>Результатом предоставления субсидии являются один или несколько из следующих результатов:</w:t>
      </w:r>
    </w:p>
    <w:p w14:paraId="02010000">
      <w:pPr>
        <w:ind w:firstLine="709" w:left="0"/>
        <w:jc w:val="both"/>
        <w:rPr>
          <w:sz w:val="28"/>
        </w:rPr>
      </w:pPr>
      <w:r>
        <w:rPr>
          <w:sz w:val="28"/>
        </w:rPr>
        <w:t>количество введенных в эксплуатацию объектов обеспечивающей и (или) сопутствующей инфраструктур, необходимых для реализации инвестиционного проекта, и (или) количество объектов, расположенных на</w:t>
      </w:r>
      <w:r>
        <w:rPr>
          <w:sz w:val="28"/>
        </w:rPr>
        <w:t xml:space="preserve"> территориях военных городков (в части жилищного строительства), в отношении которых завершены мероприятия по демонтажу, при предоставлении субсидии в целях возмещения организациям, реализующим проекты, затрат, указанных </w:t>
      </w:r>
      <w:r>
        <w:rPr>
          <w:sz w:val="28"/>
        </w:rPr>
        <w:t>в абзацах втором и (или) пятом пункта 10 настоящего Порядка</w:t>
      </w:r>
      <w:r>
        <w:rPr>
          <w:sz w:val="28"/>
        </w:rPr>
        <w:t>;</w:t>
      </w:r>
    </w:p>
    <w:p w14:paraId="03010000">
      <w:pPr>
        <w:ind w:firstLine="709" w:left="0"/>
        <w:jc w:val="both"/>
        <w:rPr>
          <w:sz w:val="28"/>
        </w:rPr>
      </w:pPr>
      <w:r>
        <w:rPr>
          <w:sz w:val="28"/>
        </w:rPr>
        <w:t xml:space="preserve">количество завершенных в установленные соглашением о защите и поощрении капиталовложений сроки этапов инвестиционного проекта при предоставлении субсидии в целях возмещения организациям, реализующим проекты, затрат, </w:t>
      </w:r>
      <w:r>
        <w:rPr>
          <w:sz w:val="28"/>
        </w:rPr>
        <w:t xml:space="preserve">указанных в абзацах третьем и (или) четвертом пункта </w:t>
      </w:r>
      <w:r>
        <w:rPr>
          <w:sz w:val="28"/>
        </w:rPr>
        <w:t>10 настоящего Порядка</w:t>
      </w:r>
      <w:r>
        <w:rPr>
          <w:sz w:val="28"/>
        </w:rPr>
        <w:t>.</w:t>
      </w:r>
    </w:p>
    <w:p w14:paraId="04010000">
      <w:pPr>
        <w:ind w:firstLine="709" w:left="0"/>
        <w:jc w:val="both"/>
        <w:rPr>
          <w:sz w:val="28"/>
        </w:rPr>
      </w:pPr>
      <w:r>
        <w:rPr>
          <w:sz w:val="28"/>
        </w:rPr>
        <w:t>Показателем, обеспечивающим достижение указанного в абзаце третьем настоящего пункта результата, являе</w:t>
      </w:r>
      <w:r>
        <w:rPr>
          <w:sz w:val="28"/>
        </w:rPr>
        <w:t>тся количество объектов капитального строительства, введенных в эксплуатацию.</w:t>
      </w:r>
    </w:p>
    <w:p w14:paraId="05010000">
      <w:pPr>
        <w:widowControl w:val="0"/>
        <w:spacing w:before="0" w:line="240" w:lineRule="auto"/>
        <w:ind w:firstLine="709" w:left="0"/>
        <w:jc w:val="both"/>
        <w:rPr>
          <w:sz w:val="28"/>
        </w:rPr>
      </w:pPr>
      <w:r>
        <w:rPr>
          <w:sz w:val="28"/>
        </w:rPr>
        <w:t>34. Порядок и сроки возврата субсидии в областной бюджет в случае нарушени</w:t>
      </w:r>
      <w:r>
        <w:rPr>
          <w:sz w:val="28"/>
        </w:rPr>
        <w:t>я организацией, реализующей проект, условий ее предоставления определяются соглашением о предоставлении субсидии с учетом раздела 4 настоящего Порядка.</w:t>
      </w:r>
    </w:p>
    <w:p w14:paraId="06010000">
      <w:pPr>
        <w:widowControl w:val="0"/>
        <w:spacing w:before="0" w:line="240" w:lineRule="auto"/>
        <w:ind w:firstLine="709" w:left="0"/>
        <w:jc w:val="both"/>
        <w:rPr>
          <w:sz w:val="28"/>
        </w:rPr>
      </w:pPr>
    </w:p>
    <w:p w14:paraId="07010000">
      <w:pPr>
        <w:widowControl w:val="0"/>
        <w:spacing w:before="0" w:line="240" w:lineRule="auto"/>
        <w:ind w:firstLine="0" w:left="0"/>
        <w:jc w:val="center"/>
        <w:outlineLvl w:val="1"/>
        <w:rPr>
          <w:b w:val="1"/>
          <w:sz w:val="28"/>
        </w:rPr>
      </w:pPr>
      <w:r>
        <w:rPr>
          <w:b w:val="1"/>
          <w:sz w:val="28"/>
        </w:rPr>
        <w:t>3. Требования к отчетности</w:t>
      </w:r>
    </w:p>
    <w:p w14:paraId="08010000">
      <w:pPr>
        <w:widowControl w:val="0"/>
        <w:spacing w:before="0" w:line="240" w:lineRule="auto"/>
        <w:ind w:firstLine="709" w:left="0"/>
        <w:jc w:val="both"/>
        <w:rPr>
          <w:sz w:val="28"/>
        </w:rPr>
      </w:pPr>
    </w:p>
    <w:p w14:paraId="09010000">
      <w:pPr>
        <w:widowControl w:val="0"/>
        <w:spacing w:before="0" w:line="240" w:lineRule="auto"/>
        <w:ind w:firstLine="709" w:left="0"/>
        <w:jc w:val="both"/>
        <w:rPr>
          <w:sz w:val="28"/>
        </w:rPr>
      </w:pPr>
      <w:r>
        <w:rPr>
          <w:sz w:val="28"/>
        </w:rPr>
        <w:t>35. Организация, реализующая проект, обеспечивает представление в уполномоченный орган следующей отчетности, которая должна содержать информацию:</w:t>
      </w:r>
    </w:p>
    <w:p w14:paraId="0A010000">
      <w:pPr>
        <w:widowControl w:val="0"/>
        <w:spacing w:before="0" w:line="240" w:lineRule="auto"/>
        <w:ind w:firstLine="709" w:left="0"/>
        <w:jc w:val="both"/>
        <w:rPr>
          <w:sz w:val="28"/>
        </w:rPr>
      </w:pPr>
      <w:r>
        <w:rPr>
          <w:sz w:val="28"/>
        </w:rPr>
        <w:t>о достижении значений результата предоставления субсидии по форме, определенной типовой формой соглашения о предоставлении субсидии, установленной Департаментом финансов Ивановской области, - ежеквартально, до 15 числа месяца, следующего за отчетным;</w:t>
      </w:r>
    </w:p>
    <w:p w14:paraId="0B010000">
      <w:pPr>
        <w:widowControl w:val="0"/>
        <w:spacing w:before="0" w:line="240" w:lineRule="auto"/>
        <w:ind w:firstLine="709" w:left="0"/>
        <w:jc w:val="both"/>
        <w:rPr>
          <w:sz w:val="28"/>
        </w:rPr>
      </w:pPr>
      <w:r>
        <w:rPr>
          <w:sz w:val="28"/>
        </w:rPr>
        <w:t>об использовании (планировании использования) в качестве источника финансирования иных мер поддержки деятельности организации, реализующей проект, по форме, определенной соглашением о предоставлении субсидии, - ежегодно, до 15 апреля года, следующего за отчетным;</w:t>
      </w:r>
    </w:p>
    <w:p w14:paraId="0C010000">
      <w:pPr>
        <w:widowControl w:val="0"/>
        <w:spacing w:before="0" w:line="240" w:lineRule="auto"/>
        <w:ind w:firstLine="709" w:left="0"/>
        <w:jc w:val="both"/>
        <w:rPr>
          <w:sz w:val="28"/>
        </w:rPr>
      </w:pPr>
      <w:r>
        <w:rPr>
          <w:sz w:val="28"/>
        </w:rPr>
        <w:t>об исчисленных для уплаты и (или) уплаченных в бюджеты публично-правовых образований, каждое из которых является стороной соглашения о защите и поощрении капиталовложений, налогов и обязательных платежей по форме и в сроки, определенные соглашением о предоставлении субсидии.</w:t>
      </w:r>
    </w:p>
    <w:p w14:paraId="0D010000">
      <w:pPr>
        <w:widowControl w:val="0"/>
        <w:spacing w:before="0" w:line="240" w:lineRule="auto"/>
        <w:ind w:firstLine="709" w:left="0"/>
        <w:jc w:val="both"/>
        <w:rPr>
          <w:sz w:val="28"/>
        </w:rPr>
      </w:pPr>
      <w:r>
        <w:rPr>
          <w:sz w:val="28"/>
        </w:rPr>
        <w:t>36. Уполномоченный орган вправе устанавливать в соглашении о предоставлении субсидии сроки и формы представления получателем субсидии дополнительной отчетности.</w:t>
      </w:r>
    </w:p>
    <w:p w14:paraId="0E010000">
      <w:pPr>
        <w:widowControl w:val="0"/>
        <w:spacing w:before="0" w:line="240" w:lineRule="auto"/>
        <w:ind w:firstLine="709" w:left="0"/>
        <w:jc w:val="both"/>
        <w:rPr>
          <w:sz w:val="28"/>
        </w:rPr>
      </w:pPr>
    </w:p>
    <w:p w14:paraId="0F010000">
      <w:pPr>
        <w:widowControl w:val="0"/>
        <w:spacing w:before="0" w:line="240" w:lineRule="auto"/>
        <w:ind w:firstLine="0" w:left="0"/>
        <w:jc w:val="center"/>
        <w:outlineLvl w:val="1"/>
        <w:rPr>
          <w:b w:val="1"/>
          <w:sz w:val="28"/>
        </w:rPr>
      </w:pPr>
      <w:r>
        <w:rPr>
          <w:b w:val="1"/>
          <w:sz w:val="28"/>
        </w:rPr>
        <w:t>4. Требования к осуществлению контроля</w:t>
      </w:r>
    </w:p>
    <w:p w14:paraId="10010000">
      <w:pPr>
        <w:widowControl w:val="0"/>
        <w:spacing w:before="0" w:line="240" w:lineRule="auto"/>
        <w:ind w:firstLine="0" w:left="0"/>
        <w:jc w:val="center"/>
        <w:rPr>
          <w:b w:val="1"/>
          <w:sz w:val="28"/>
        </w:rPr>
      </w:pPr>
      <w:r>
        <w:rPr>
          <w:b w:val="1"/>
          <w:sz w:val="28"/>
        </w:rPr>
        <w:t>за соблюдением порядка и условий предоставления субсидии</w:t>
      </w:r>
    </w:p>
    <w:p w14:paraId="11010000">
      <w:pPr>
        <w:widowControl w:val="0"/>
        <w:spacing w:before="0" w:line="240" w:lineRule="auto"/>
        <w:ind w:firstLine="0" w:left="0"/>
        <w:jc w:val="both"/>
        <w:rPr>
          <w:sz w:val="28"/>
        </w:rPr>
      </w:pPr>
    </w:p>
    <w:p w14:paraId="12010000">
      <w:pPr>
        <w:widowControl w:val="0"/>
        <w:spacing w:before="0" w:line="240" w:lineRule="auto"/>
        <w:ind w:firstLine="709" w:left="0"/>
        <w:jc w:val="both"/>
        <w:rPr>
          <w:sz w:val="28"/>
        </w:rPr>
      </w:pPr>
      <w:r>
        <w:rPr>
          <w:sz w:val="28"/>
        </w:rPr>
        <w:t>37. Уполномоченный орган осуществляет контроль за соблюдением организацией, реализующей проект, порядка и условий предоставления субсидии, в том числе достижения результата предоставления субсидии. Органы государственного финансового контроля Ивановской области осуществляют проверку в соответствии со статьями 268.1 и 269.2 Бюджетного кодекса Российской Федерации.</w:t>
      </w:r>
    </w:p>
    <w:p w14:paraId="13010000">
      <w:pPr>
        <w:widowControl w:val="0"/>
        <w:spacing w:before="0" w:line="240" w:lineRule="auto"/>
        <w:ind w:firstLine="709" w:left="0"/>
        <w:jc w:val="both"/>
        <w:rPr>
          <w:sz w:val="28"/>
        </w:rPr>
      </w:pPr>
      <w:r>
        <w:rPr>
          <w:sz w:val="28"/>
        </w:rPr>
        <w:t>38. Ответственность за достоверность и полноту сведений, отраженных в документах и являющихся основанием для предоставления субсидии, а также за несвоевременное представление отчетности, указанной в разделе 3 настоящего Порядка, несет организация, реализующая проект.</w:t>
      </w:r>
    </w:p>
    <w:p w14:paraId="14010000">
      <w:pPr>
        <w:widowControl w:val="0"/>
        <w:spacing w:before="0" w:line="240" w:lineRule="auto"/>
        <w:ind w:firstLine="709" w:left="0"/>
        <w:jc w:val="both"/>
        <w:rPr>
          <w:sz w:val="28"/>
        </w:rPr>
      </w:pPr>
      <w:r>
        <w:rPr>
          <w:sz w:val="28"/>
        </w:rPr>
        <w:t>39. В случае установления по итогам проверок, проведенных уполномоченным органом и органом государственного финансового контроля Ивановской области, факта нарушения порядка и условий предоставления субсидии, уполномоченный орган и орган государственного финансового контроля Ивановской области направляют организации, реализующей проект, требование об устранении нарушения.</w:t>
      </w:r>
    </w:p>
    <w:p w14:paraId="15010000">
      <w:pPr>
        <w:widowControl w:val="0"/>
        <w:spacing w:before="0" w:line="240" w:lineRule="auto"/>
        <w:ind w:firstLine="709" w:left="0"/>
        <w:jc w:val="both"/>
        <w:rPr>
          <w:sz w:val="28"/>
        </w:rPr>
      </w:pPr>
      <w:r>
        <w:rPr>
          <w:sz w:val="28"/>
        </w:rPr>
        <w:t>В требовании об устранении нарушения устанавливается срок для его устранения.</w:t>
      </w:r>
    </w:p>
    <w:p w14:paraId="16010000">
      <w:pPr>
        <w:widowControl w:val="0"/>
        <w:spacing w:before="0" w:line="240" w:lineRule="auto"/>
        <w:ind w:firstLine="709" w:left="0"/>
        <w:jc w:val="both"/>
        <w:rPr>
          <w:sz w:val="28"/>
        </w:rPr>
      </w:pPr>
      <w:r>
        <w:rPr>
          <w:sz w:val="28"/>
        </w:rPr>
        <w:t>40. В случае если требование об устранении нарушения не выполнено в установленный срок либо нарушение носит неустранимый характер, уполномоченный орган выдает организации, реализующей проект, требование о возврате денежных средств в размере субсидии, использованной с нарушением.</w:t>
      </w:r>
    </w:p>
    <w:p w14:paraId="17010000">
      <w:pPr>
        <w:widowControl w:val="0"/>
        <w:spacing w:before="0" w:line="240" w:lineRule="auto"/>
        <w:ind w:firstLine="709" w:left="0"/>
        <w:jc w:val="both"/>
        <w:rPr>
          <w:sz w:val="28"/>
        </w:rPr>
      </w:pPr>
      <w:r>
        <w:rPr>
          <w:sz w:val="28"/>
        </w:rPr>
        <w:t>Организация, реализующая проект, обязана возвратить в течение 20 рабочих дней со дня получения требования о возврате денежных средств в областной бюджет денежные средства в размере субсидии, использованной с нарушениями.</w:t>
      </w:r>
    </w:p>
    <w:p w14:paraId="18010000">
      <w:pPr>
        <w:widowControl w:val="0"/>
        <w:spacing w:before="0" w:line="240" w:lineRule="auto"/>
        <w:ind w:firstLine="709" w:left="0"/>
        <w:jc w:val="both"/>
        <w:rPr>
          <w:sz w:val="28"/>
        </w:rPr>
      </w:pPr>
      <w:r>
        <w:rPr>
          <w:sz w:val="28"/>
        </w:rPr>
        <w:t>41. В случае неисполнения организацией, реализующей проект, требования о возврате денежных средств со счетов, открытых организации, реализующей проект, в кредитных организациях, с которыми организация, реализующая проект, обязана заключить договоры банковского счета, может осуществляться бесспорное списание средств в размере, не превышающем размера субсидии, использованной с нарушениями.</w:t>
      </w:r>
    </w:p>
    <w:p w14:paraId="19010000">
      <w:pPr>
        <w:widowControl w:val="0"/>
        <w:spacing w:before="0" w:line="240" w:lineRule="auto"/>
        <w:ind w:firstLine="709" w:left="0"/>
        <w:jc w:val="both"/>
      </w:pPr>
      <w:r>
        <w:rPr>
          <w:sz w:val="28"/>
        </w:rPr>
        <w:t>42. В случае недостижения организацией, реализующей проект, результата предоставления субсидии уполномоченный орган направляет организации, реализующей проект, требование об уплате штрафа в размере, определяемом соглашением о предоставлении субсидии, с указанием срока его исполнения.</w:t>
      </w:r>
    </w:p>
    <w:p w14:paraId="1A010000">
      <w:pPr>
        <w:widowControl w:val="0"/>
        <w:spacing w:before="0" w:line="240" w:lineRule="auto"/>
        <w:ind w:firstLine="709" w:left="0"/>
        <w:jc w:val="right"/>
        <w:rPr>
          <w:sz w:val="28"/>
        </w:rPr>
      </w:pPr>
      <w:r>
        <w:br w:type="page"/>
      </w:r>
      <w:r>
        <w:rPr>
          <w:sz w:val="28"/>
        </w:rPr>
        <w:t>Приложение</w:t>
      </w:r>
    </w:p>
    <w:p w14:paraId="1B010000">
      <w:pPr>
        <w:widowControl w:val="0"/>
        <w:spacing w:before="0" w:line="240" w:lineRule="auto"/>
        <w:ind w:firstLine="0" w:left="0"/>
        <w:jc w:val="right"/>
        <w:rPr>
          <w:b w:val="0"/>
          <w:sz w:val="28"/>
        </w:rPr>
      </w:pPr>
      <w:r>
        <w:rPr>
          <w:b w:val="0"/>
          <w:sz w:val="28"/>
        </w:rPr>
        <w:t xml:space="preserve">к Порядку </w:t>
      </w:r>
      <w:r>
        <w:rPr>
          <w:rFonts w:ascii="Times New Roman" w:hAnsi="Times New Roman"/>
          <w:b w:val="0"/>
          <w:color w:val="000000"/>
          <w:sz w:val="28"/>
        </w:rPr>
        <w:t>возмещения затрат,</w:t>
      </w:r>
    </w:p>
    <w:p w14:paraId="1C010000">
      <w:pPr>
        <w:widowControl w:val="0"/>
        <w:spacing w:before="0" w:line="240" w:lineRule="auto"/>
        <w:ind w:firstLine="0" w:left="0"/>
        <w:jc w:val="right"/>
        <w:rPr>
          <w:b w:val="0"/>
          <w:sz w:val="28"/>
        </w:rPr>
      </w:pPr>
      <w:r>
        <w:rPr>
          <w:rFonts w:ascii="Times New Roman" w:hAnsi="Times New Roman"/>
          <w:b w:val="0"/>
          <w:color w:val="000000"/>
          <w:sz w:val="28"/>
        </w:rPr>
        <w:t>указанных в части 1 статьи 15 Федерального закона</w:t>
      </w:r>
    </w:p>
    <w:p w14:paraId="1D010000">
      <w:pPr>
        <w:widowControl w:val="0"/>
        <w:spacing w:before="0" w:line="240" w:lineRule="auto"/>
        <w:ind w:firstLine="0" w:left="0"/>
        <w:jc w:val="right"/>
        <w:rPr>
          <w:b w:val="0"/>
          <w:sz w:val="28"/>
        </w:rPr>
      </w:pPr>
      <w:r>
        <w:rPr>
          <w:rFonts w:ascii="Times New Roman" w:hAnsi="Times New Roman"/>
          <w:b w:val="0"/>
          <w:color w:val="000000"/>
          <w:sz w:val="28"/>
        </w:rPr>
        <w:t xml:space="preserve">от 01.04.2020 </w:t>
      </w:r>
      <w:r>
        <w:rPr>
          <w:rFonts w:ascii="Times New Roman" w:hAnsi="Times New Roman"/>
          <w:b w:val="0"/>
          <w:color w:val="000000"/>
          <w:sz w:val="28"/>
        </w:rPr>
        <w:t>№ 69-ФЗ «О защит</w:t>
      </w:r>
      <w:r>
        <w:rPr>
          <w:rFonts w:ascii="Times New Roman" w:hAnsi="Times New Roman"/>
          <w:b w:val="0"/>
          <w:color w:val="000000"/>
          <w:sz w:val="28"/>
        </w:rPr>
        <w:t>е и поощрении</w:t>
      </w:r>
    </w:p>
    <w:p w14:paraId="1E010000">
      <w:pPr>
        <w:widowControl w:val="0"/>
        <w:spacing w:before="0" w:line="240" w:lineRule="auto"/>
        <w:ind w:firstLine="0" w:left="0"/>
        <w:jc w:val="right"/>
        <w:rPr>
          <w:b w:val="0"/>
          <w:sz w:val="28"/>
        </w:rPr>
      </w:pPr>
      <w:r>
        <w:rPr>
          <w:rFonts w:ascii="Times New Roman" w:hAnsi="Times New Roman"/>
          <w:b w:val="0"/>
          <w:color w:val="000000"/>
          <w:sz w:val="28"/>
        </w:rPr>
        <w:t>капиталовложений в Российской Федерации»,</w:t>
      </w:r>
    </w:p>
    <w:p w14:paraId="1F010000">
      <w:pPr>
        <w:widowControl w:val="0"/>
        <w:spacing w:before="0" w:line="240" w:lineRule="auto"/>
        <w:ind w:firstLine="0" w:left="0"/>
        <w:jc w:val="right"/>
        <w:rPr>
          <w:b w:val="0"/>
          <w:sz w:val="28"/>
        </w:rPr>
      </w:pPr>
      <w:r>
        <w:rPr>
          <w:rFonts w:ascii="Times New Roman" w:hAnsi="Times New Roman"/>
          <w:b w:val="0"/>
          <w:color w:val="000000"/>
          <w:sz w:val="28"/>
        </w:rPr>
        <w:t xml:space="preserve">понесенных организацией, реализующей </w:t>
      </w:r>
      <w:r>
        <w:rPr>
          <w:rFonts w:ascii="Times New Roman" w:hAnsi="Times New Roman"/>
          <w:b w:val="0"/>
          <w:color w:val="000000"/>
          <w:sz w:val="28"/>
        </w:rPr>
        <w:t>проект,</w:t>
      </w:r>
    </w:p>
    <w:p w14:paraId="20010000">
      <w:pPr>
        <w:widowControl w:val="0"/>
        <w:spacing w:before="0" w:line="240" w:lineRule="auto"/>
        <w:ind w:firstLine="0" w:left="0"/>
        <w:jc w:val="right"/>
        <w:rPr>
          <w:b w:val="0"/>
          <w:sz w:val="28"/>
        </w:rPr>
      </w:pPr>
      <w:r>
        <w:rPr>
          <w:rFonts w:ascii="Times New Roman" w:hAnsi="Times New Roman"/>
          <w:b w:val="0"/>
          <w:color w:val="000000"/>
          <w:sz w:val="28"/>
        </w:rPr>
        <w:t xml:space="preserve">в рамках осуществления </w:t>
      </w:r>
      <w:r>
        <w:rPr>
          <w:rFonts w:ascii="Times New Roman" w:hAnsi="Times New Roman"/>
          <w:b w:val="0"/>
          <w:color w:val="000000"/>
          <w:sz w:val="28"/>
        </w:rPr>
        <w:t>инвестиционного проекта,</w:t>
      </w:r>
    </w:p>
    <w:p w14:paraId="21010000">
      <w:pPr>
        <w:widowControl w:val="0"/>
        <w:spacing w:before="0" w:line="240" w:lineRule="auto"/>
        <w:ind w:firstLine="0" w:left="0"/>
        <w:jc w:val="right"/>
        <w:rPr>
          <w:b w:val="0"/>
          <w:sz w:val="28"/>
        </w:rPr>
      </w:pPr>
      <w:r>
        <w:rPr>
          <w:rFonts w:ascii="Times New Roman" w:hAnsi="Times New Roman"/>
          <w:b w:val="0"/>
          <w:color w:val="000000"/>
          <w:sz w:val="28"/>
        </w:rPr>
        <w:t>в отношении которого заключено соглашение</w:t>
      </w:r>
    </w:p>
    <w:p w14:paraId="22010000">
      <w:pPr>
        <w:widowControl w:val="0"/>
        <w:spacing w:before="0" w:line="240" w:lineRule="auto"/>
        <w:ind w:firstLine="0" w:left="0"/>
        <w:jc w:val="right"/>
        <w:rPr>
          <w:b w:val="0"/>
          <w:sz w:val="28"/>
        </w:rPr>
      </w:pPr>
      <w:r>
        <w:rPr>
          <w:rFonts w:ascii="Times New Roman" w:hAnsi="Times New Roman"/>
          <w:b w:val="0"/>
          <w:color w:val="000000"/>
          <w:sz w:val="28"/>
        </w:rPr>
        <w:t>о защите и поощрении капиталовложений</w:t>
      </w:r>
    </w:p>
    <w:p w14:paraId="23010000">
      <w:pPr>
        <w:widowControl w:val="0"/>
        <w:spacing w:before="0" w:line="240" w:lineRule="auto"/>
        <w:ind w:firstLine="0" w:left="0"/>
        <w:jc w:val="both"/>
        <w:rPr>
          <w:sz w:val="28"/>
        </w:rPr>
      </w:pPr>
    </w:p>
    <w:p w14:paraId="24010000">
      <w:pPr>
        <w:widowControl w:val="0"/>
        <w:spacing w:before="0" w:line="240" w:lineRule="auto"/>
        <w:ind w:firstLine="0" w:left="0"/>
        <w:jc w:val="center"/>
        <w:rPr>
          <w:b w:val="1"/>
          <w:sz w:val="28"/>
        </w:rPr>
      </w:pPr>
      <w:r>
        <w:rPr>
          <w:b w:val="1"/>
          <w:sz w:val="28"/>
        </w:rPr>
        <w:t>ФОРМА РАСЧЕТА</w:t>
      </w:r>
    </w:p>
    <w:p w14:paraId="25010000">
      <w:pPr>
        <w:widowControl w:val="0"/>
        <w:spacing w:before="0" w:line="240" w:lineRule="auto"/>
        <w:ind w:firstLine="0" w:left="0"/>
        <w:jc w:val="center"/>
        <w:rPr>
          <w:b w:val="1"/>
          <w:sz w:val="28"/>
        </w:rPr>
      </w:pPr>
      <w:r>
        <w:rPr>
          <w:b w:val="1"/>
          <w:sz w:val="28"/>
        </w:rPr>
        <w:t xml:space="preserve">объема возмещения </w:t>
      </w:r>
      <w:r>
        <w:rPr>
          <w:b w:val="1"/>
          <w:sz w:val="28"/>
        </w:rPr>
        <w:t xml:space="preserve">затрат, указанных в части 1 </w:t>
      </w:r>
      <w:r>
        <w:rPr>
          <w:b w:val="1"/>
          <w:sz w:val="28"/>
        </w:rPr>
        <w:t xml:space="preserve">статьи 15 Федерального закона </w:t>
      </w:r>
      <w:r>
        <w:rPr>
          <w:b w:val="1"/>
          <w:sz w:val="28"/>
        </w:rPr>
        <w:t xml:space="preserve">«О защите и поощрении капиталовложений </w:t>
      </w:r>
      <w:r>
        <w:br/>
      </w:r>
      <w:r>
        <w:rPr>
          <w:b w:val="1"/>
          <w:sz w:val="28"/>
        </w:rPr>
        <w:t xml:space="preserve">в Российской Федерации», понесенных </w:t>
      </w:r>
      <w:r>
        <w:rPr>
          <w:b w:val="1"/>
          <w:sz w:val="28"/>
        </w:rPr>
        <w:t xml:space="preserve">организацией, реализующей проект, </w:t>
      </w:r>
      <w:r>
        <w:rPr>
          <w:b w:val="1"/>
          <w:sz w:val="28"/>
        </w:rPr>
        <w:t xml:space="preserve">в рамках осуществления инвестиционного </w:t>
      </w:r>
      <w:r>
        <w:rPr>
          <w:b w:val="1"/>
          <w:sz w:val="28"/>
        </w:rPr>
        <w:t xml:space="preserve">проекта, </w:t>
      </w:r>
      <w:r>
        <w:br/>
      </w:r>
      <w:r>
        <w:rPr>
          <w:b w:val="1"/>
          <w:sz w:val="28"/>
        </w:rPr>
        <w:t xml:space="preserve">в отношении которого </w:t>
      </w:r>
      <w:r>
        <w:rPr>
          <w:b w:val="1"/>
          <w:sz w:val="28"/>
        </w:rPr>
        <w:t xml:space="preserve">заключено соглашение о защите </w:t>
      </w:r>
      <w:r>
        <w:rPr>
          <w:b w:val="1"/>
          <w:sz w:val="28"/>
        </w:rPr>
        <w:t>и поощрении капиталовложений</w:t>
      </w:r>
    </w:p>
    <w:p w14:paraId="26010000">
      <w:pPr>
        <w:widowControl w:val="0"/>
        <w:spacing w:before="0" w:line="240" w:lineRule="auto"/>
        <w:ind w:firstLine="0" w:left="0"/>
        <w:jc w:val="both"/>
        <w:rPr>
          <w:sz w:val="28"/>
        </w:rPr>
      </w:pPr>
    </w:p>
    <w:p w14:paraId="27010000">
      <w:pPr>
        <w:widowControl w:val="0"/>
        <w:spacing w:before="0" w:line="240" w:lineRule="auto"/>
        <w:ind w:firstLine="709" w:left="0"/>
        <w:jc w:val="both"/>
        <w:rPr>
          <w:sz w:val="28"/>
        </w:rPr>
      </w:pPr>
      <w:r>
        <w:rPr>
          <w:sz w:val="28"/>
        </w:rPr>
        <w:t>1. В настоящей форме используются понятия, установленные Федеральным зак</w:t>
      </w:r>
      <w:r>
        <w:rPr>
          <w:sz w:val="28"/>
        </w:rPr>
        <w:t xml:space="preserve">оном </w:t>
      </w:r>
      <w:r>
        <w:rPr>
          <w:sz w:val="28"/>
        </w:rPr>
        <w:t>от 01.04.2020 № 69-ФЗ</w:t>
      </w:r>
      <w:r>
        <w:rPr>
          <w:sz w:val="28"/>
        </w:rPr>
        <w:t xml:space="preserve"> «О защите и поощрении капиталовложений в Российской Федерации» (далее - Федеральный закон), </w:t>
      </w:r>
      <w:r>
        <w:rPr>
          <w:sz w:val="28"/>
        </w:rPr>
        <w:t xml:space="preserve">а также определения, установленные </w:t>
      </w:r>
      <w:r>
        <w:rPr>
          <w:b w:val="0"/>
          <w:sz w:val="28"/>
        </w:rPr>
        <w:t xml:space="preserve">Порядком </w:t>
      </w:r>
      <w:r>
        <w:rPr>
          <w:rFonts w:ascii="Times New Roman" w:hAnsi="Times New Roman"/>
          <w:b w:val="0"/>
          <w:color w:val="000000"/>
          <w:sz w:val="28"/>
        </w:rPr>
        <w:t xml:space="preserve">возмещения затрат, указанных в части 1 статьи 15 Федерального закона от 01.04.2020 </w:t>
      </w:r>
      <w:r>
        <w:rPr>
          <w:rFonts w:ascii="Times New Roman" w:hAnsi="Times New Roman"/>
          <w:b w:val="0"/>
          <w:color w:val="000000"/>
          <w:sz w:val="28"/>
        </w:rPr>
        <w:t>№ 69-ФЗ «О защит</w:t>
      </w:r>
      <w:r>
        <w:rPr>
          <w:rFonts w:ascii="Times New Roman" w:hAnsi="Times New Roman"/>
          <w:b w:val="0"/>
          <w:color w:val="000000"/>
          <w:sz w:val="28"/>
        </w:rPr>
        <w:t xml:space="preserve">е и </w:t>
      </w:r>
      <w:r>
        <w:rPr>
          <w:rFonts w:ascii="Times New Roman" w:hAnsi="Times New Roman"/>
          <w:b w:val="0"/>
          <w:color w:val="000000"/>
          <w:sz w:val="28"/>
        </w:rPr>
        <w:t>поощрении капиталовложений в Российской Федерации», понесенных организацией, реализующей проект, в рамках осуществления инвестиционного проекта, в отнош</w:t>
      </w:r>
      <w:r>
        <w:rPr>
          <w:rFonts w:ascii="Times New Roman" w:hAnsi="Times New Roman"/>
          <w:b w:val="0"/>
          <w:color w:val="000000"/>
          <w:sz w:val="28"/>
        </w:rPr>
        <w:t xml:space="preserve">ении которого заключено соглашение о защите и поощрении капиталовложений», утвержденным </w:t>
      </w:r>
      <w:r>
        <w:rPr>
          <w:b w:val="0"/>
          <w:sz w:val="28"/>
        </w:rPr>
        <w:t xml:space="preserve">постановлением Правительства Российской Федерации </w:t>
      </w:r>
      <w:r>
        <w:br/>
      </w:r>
      <w:r>
        <w:rPr>
          <w:b w:val="0"/>
          <w:sz w:val="28"/>
        </w:rPr>
        <w:t xml:space="preserve">от 02.08.2023 </w:t>
      </w:r>
      <w:r>
        <w:rPr>
          <w:b w:val="0"/>
          <w:sz w:val="28"/>
        </w:rPr>
        <w:t>№ 345-п «</w:t>
      </w:r>
      <w:r>
        <w:rPr>
          <w:b w:val="0"/>
          <w:sz w:val="28"/>
        </w:rPr>
        <w:t>Об утверждении Порядка возмещения затрат, указанных в части 1 статьи 15 Федерального закона от 01.04.2020 № 69-ФЗ «О защите и поощрении капиталовложений в Российской Федерации», понесенных организацией, реализующей проект, в рамках осуществ</w:t>
      </w:r>
      <w:r>
        <w:rPr>
          <w:sz w:val="28"/>
        </w:rPr>
        <w:t>ления инвестиционного проекта, в отношении которого заключено соглашение о защите и поощрении капиталовложений»</w:t>
      </w:r>
      <w:r>
        <w:rPr>
          <w:sz w:val="28"/>
        </w:rPr>
        <w:t xml:space="preserve"> (далее - Порядок).</w:t>
      </w:r>
    </w:p>
    <w:p w14:paraId="28010000">
      <w:pPr>
        <w:widowControl w:val="0"/>
        <w:spacing w:before="0" w:line="240" w:lineRule="auto"/>
        <w:ind w:firstLine="709" w:left="0"/>
        <w:jc w:val="both"/>
        <w:rPr>
          <w:sz w:val="28"/>
        </w:rPr>
      </w:pPr>
      <w:r>
        <w:rPr>
          <w:sz w:val="28"/>
        </w:rPr>
        <w:t>Расчет объема возмещения затрат по итогам реализации отдельного этапа проекта и по итогам реализации проекта осуществляется аналогичным способом.</w:t>
      </w:r>
    </w:p>
    <w:p w14:paraId="29010000">
      <w:pPr>
        <w:widowControl w:val="0"/>
        <w:spacing w:before="0" w:line="240" w:lineRule="auto"/>
        <w:ind w:firstLine="709" w:left="0"/>
        <w:jc w:val="both"/>
        <w:rPr>
          <w:sz w:val="28"/>
        </w:rPr>
      </w:pPr>
      <w:r>
        <w:rPr>
          <w:sz w:val="28"/>
        </w:rPr>
        <w:t>2. Объем возмещаемых затрат на создание</w:t>
      </w:r>
      <w:r>
        <w:rPr>
          <w:sz w:val="28"/>
        </w:rPr>
        <w:t xml:space="preserve"> (строительство) либо реконструкцию и (или) модернизацию (далее - создание) объектов обеспечивающей инфраструктуры, необходимых для реализации проекта, в том числе на реконструкцию объектов обеспечивающей инфраструктуры, находящихся в государственной (муниципальной) собственности или собственности регулируемых организаций (включая затраты на технологическое присоединение (примыкание) к инженерным и транспортным сетям), и на уплату процентов по кредитам и займам, купонного дохода по облигационным займам, привлеченным для создания объектов обеспечивающей инфраструктуры, необходимых для реализации проекта, в том числе на реконструкцию объектов обеспечивающей инфраструктуры, находящихся в государственной (муниципальной) собственности, если уплата таких процентов была осуществлена на инвестиционной стадии, при условии, что в отношении таких кредитов и займов, включая облигационные займы, не предоставляются меры прямой государственной поддержки (далее - затраты на объекты обеспечивающей инфраструктуры), затрат на создание объектов сопутствующей инфраструктуры, необходимых для реализации проекта, в том числе на реконструкцию объектов сопутствующей инфраструктуры, находящихся в государственной (муниципальной) собственности или собственности регулируемых организаций (включая затраты на технологическое присоединение (примыкание) к инженерным и транспортным сетям), и на уплату процентов по кредитам и займам, купонного дохода по облигационным займам, привлеченным для создания объектов сопутствующей инфраструктуры, необходимых для реализации проекта, в том числе на реконструкцию объектов сопутствующей инфраструктуры, находящихся в государственной (муниципальной) собственности, если уплата таких процентов была осуществлена на инвестиционной стадии, при условии, что в отношении таких кредитов и займов, включая облигационные займы, не предоставляются меры прямой государственной поддержки (далее - затраты на объекты сопутствующей инфраструктуры), затрат на уплату процентов по кредитам и займам, купонного дохода по облигационным займам, привлеченным для реализации проекта в части создания основного объекта проекта (основных объектов проекта), если уплата таких процентов была осуществлена на инвестиционной стадии, при условии, что в отношении таких кредитов и займов, включая облигационные займы, не предоставляются меры прямой государственной поддержки (далее - затраты на уплату процентов на инвестиционной стадии), а также затрат на демонтаж объектов, расположенных на территориях военных городков (в части жилищного строительства), при одновременном выполнении условий, предусмотренных пунктом 5 части 1 статьи 15 Федерального закона (далее - затраты на демонтаж), с учетом требований части 4 статьи 15 Федерального закона (далее - объем возмещаемых затрат) (C</w:t>
      </w:r>
      <w:r>
        <w:rPr>
          <w:sz w:val="28"/>
          <w:vertAlign w:val="subscript"/>
        </w:rPr>
        <w:t>х</w:t>
      </w:r>
      <w:r>
        <w:rPr>
          <w:sz w:val="28"/>
        </w:rPr>
        <w:t>) определяется по формуле:</w:t>
      </w:r>
    </w:p>
    <w:p w14:paraId="2A010000">
      <w:pPr>
        <w:widowControl w:val="0"/>
        <w:spacing w:before="0" w:line="240" w:lineRule="auto"/>
        <w:ind w:firstLine="0" w:left="0"/>
        <w:jc w:val="both"/>
        <w:rPr>
          <w:sz w:val="28"/>
        </w:rPr>
      </w:pPr>
    </w:p>
    <w:p w14:paraId="2B010000">
      <w:pPr>
        <w:widowControl w:val="0"/>
        <w:spacing w:before="0" w:line="240" w:lineRule="auto"/>
        <w:ind w:firstLine="0" w:left="0"/>
        <w:jc w:val="center"/>
      </w:pPr>
      <w:r>
        <w:drawing>
          <wp:inline>
            <wp:extent cx="4352383" cy="238095"/>
            <wp:effectExtent b="0" l="0" r="0" t="0"/>
            <wp:docPr hidden="false" id="4" name="Picture 4"/>
            <a:graphic>
              <a:graphicData uri="http://schemas.openxmlformats.org/drawingml/2006/picture">
                <pic:pic>
                  <pic:nvPicPr>
                    <pic:cNvPr hidden="false" id="3" name="Picture 3"/>
                    <pic:cNvPicPr preferRelativeResize="true"/>
                  </pic:nvPicPr>
                  <pic:blipFill>
                    <a:blip r:embed="rId3"/>
                    <a:stretch/>
                  </pic:blipFill>
                  <pic:spPr>
                    <a:xfrm flipH="false" flipV="false" rot="0">
                      <a:ext cx="4352383" cy="238095"/>
                    </a:xfrm>
                    <a:prstGeom prst="rect"/>
                  </pic:spPr>
                </pic:pic>
              </a:graphicData>
            </a:graphic>
          </wp:inline>
        </w:drawing>
      </w:r>
    </w:p>
    <w:p w14:paraId="2C010000">
      <w:pPr>
        <w:widowControl w:val="0"/>
        <w:spacing w:before="0" w:line="240" w:lineRule="auto"/>
        <w:ind w:firstLine="0" w:left="0"/>
        <w:jc w:val="both"/>
        <w:rPr>
          <w:sz w:val="28"/>
        </w:rPr>
      </w:pPr>
    </w:p>
    <w:p w14:paraId="2D010000">
      <w:pPr>
        <w:widowControl w:val="0"/>
        <w:spacing w:before="0" w:line="240" w:lineRule="auto"/>
        <w:ind w:firstLine="709" w:left="0"/>
        <w:jc w:val="both"/>
        <w:rPr>
          <w:sz w:val="28"/>
        </w:rPr>
      </w:pPr>
      <w:r>
        <w:rPr>
          <w:sz w:val="28"/>
        </w:rPr>
        <w:t>где:</w:t>
      </w:r>
    </w:p>
    <w:p w14:paraId="2E010000">
      <w:pPr>
        <w:widowControl w:val="0"/>
        <w:spacing w:before="0" w:line="240" w:lineRule="auto"/>
        <w:ind w:firstLine="709" w:left="0"/>
        <w:jc w:val="both"/>
        <w:rPr>
          <w:sz w:val="28"/>
        </w:rPr>
      </w:pPr>
      <w:r>
        <w:rPr>
          <w:sz w:val="28"/>
        </w:rPr>
        <w:t>C</w:t>
      </w:r>
      <w:r>
        <w:rPr>
          <w:sz w:val="28"/>
          <w:vertAlign w:val="subscript"/>
        </w:rPr>
        <w:t>инф обесп</w:t>
      </w:r>
      <w:r>
        <w:rPr>
          <w:sz w:val="28"/>
        </w:rPr>
        <w:t xml:space="preserve"> - объем фактически понесенных затрат на объекты обеспечивающей инфраструктуры;</w:t>
      </w:r>
    </w:p>
    <w:p w14:paraId="2F010000">
      <w:pPr>
        <w:widowControl w:val="0"/>
        <w:spacing w:before="0" w:line="240" w:lineRule="auto"/>
        <w:ind w:firstLine="709" w:left="0"/>
        <w:jc w:val="both"/>
        <w:rPr>
          <w:sz w:val="28"/>
        </w:rPr>
      </w:pPr>
      <w:r>
        <w:rPr>
          <w:sz w:val="28"/>
        </w:rPr>
        <w:t>C</w:t>
      </w:r>
      <w:r>
        <w:rPr>
          <w:sz w:val="28"/>
          <w:vertAlign w:val="subscript"/>
        </w:rPr>
        <w:t>инф соп</w:t>
      </w:r>
      <w:r>
        <w:rPr>
          <w:sz w:val="28"/>
        </w:rPr>
        <w:t xml:space="preserve"> - объем фактически понесенных затрат на объекты сопутствующей инфраструктуры;</w:t>
      </w:r>
    </w:p>
    <w:p w14:paraId="30010000">
      <w:pPr>
        <w:widowControl w:val="0"/>
        <w:spacing w:before="0" w:line="240" w:lineRule="auto"/>
        <w:ind w:firstLine="709" w:left="0"/>
        <w:jc w:val="both"/>
        <w:rPr>
          <w:sz w:val="28"/>
        </w:rPr>
      </w:pPr>
      <w:r>
        <w:rPr>
          <w:sz w:val="28"/>
        </w:rPr>
        <w:t>C</w:t>
      </w:r>
      <w:r>
        <w:rPr>
          <w:sz w:val="28"/>
          <w:vertAlign w:val="subscript"/>
        </w:rPr>
        <w:t>ис</w:t>
      </w:r>
      <w:r>
        <w:rPr>
          <w:sz w:val="28"/>
        </w:rPr>
        <w:t xml:space="preserve"> - объем фактически понесенных затрат на уплату процентов на инвестиционной стадии;</w:t>
      </w:r>
    </w:p>
    <w:p w14:paraId="31010000">
      <w:pPr>
        <w:widowControl w:val="0"/>
        <w:spacing w:before="0" w:line="240" w:lineRule="auto"/>
        <w:ind w:firstLine="709" w:left="0"/>
        <w:jc w:val="both"/>
        <w:rPr>
          <w:sz w:val="28"/>
        </w:rPr>
      </w:pPr>
      <w:r>
        <w:rPr>
          <w:sz w:val="28"/>
        </w:rPr>
        <w:t>C</w:t>
      </w:r>
      <w:r>
        <w:rPr>
          <w:sz w:val="28"/>
          <w:vertAlign w:val="subscript"/>
        </w:rPr>
        <w:t>дем</w:t>
      </w:r>
      <w:r>
        <w:rPr>
          <w:sz w:val="28"/>
        </w:rPr>
        <w:t xml:space="preserve"> - объем фактически понесенных затрат на демонтаж.</w:t>
      </w:r>
    </w:p>
    <w:p w14:paraId="32010000">
      <w:pPr>
        <w:widowControl w:val="0"/>
        <w:spacing w:before="0" w:line="240" w:lineRule="auto"/>
        <w:ind w:firstLine="709" w:left="0"/>
        <w:jc w:val="both"/>
        <w:rPr>
          <w:sz w:val="28"/>
        </w:rPr>
      </w:pPr>
      <w:r>
        <w:rPr>
          <w:sz w:val="28"/>
        </w:rPr>
        <w:t>2(1). Объем фактически понесенных затрат на объекты обеспечивающей инфраструктуры (C</w:t>
      </w:r>
      <w:r>
        <w:rPr>
          <w:sz w:val="28"/>
          <w:vertAlign w:val="subscript"/>
        </w:rPr>
        <w:t>инф обесп</w:t>
      </w:r>
      <w:r>
        <w:rPr>
          <w:sz w:val="28"/>
        </w:rPr>
        <w:t>) определяется по формуле:</w:t>
      </w:r>
    </w:p>
    <w:p w14:paraId="33010000">
      <w:pPr>
        <w:widowControl w:val="0"/>
        <w:spacing w:before="0" w:line="240" w:lineRule="auto"/>
        <w:ind w:firstLine="0" w:left="0"/>
        <w:jc w:val="both"/>
        <w:rPr>
          <w:sz w:val="28"/>
        </w:rPr>
      </w:pPr>
    </w:p>
    <w:p w14:paraId="34010000">
      <w:pPr>
        <w:widowControl w:val="0"/>
        <w:spacing w:before="0" w:line="240" w:lineRule="auto"/>
        <w:ind w:firstLine="0" w:left="0"/>
        <w:jc w:val="center"/>
      </w:pPr>
      <w:r>
        <w:drawing>
          <wp:inline>
            <wp:extent cx="5669915" cy="494091"/>
            <wp:effectExtent b="0" l="0" r="0" t="0"/>
            <wp:docPr hidden="false" id="6" name="Picture 6"/>
            <a:graphic>
              <a:graphicData uri="http://schemas.openxmlformats.org/drawingml/2006/picture">
                <pic:pic>
                  <pic:nvPicPr>
                    <pic:cNvPr hidden="false" id="5" name="Picture 5"/>
                    <pic:cNvPicPr preferRelativeResize="true"/>
                  </pic:nvPicPr>
                  <pic:blipFill>
                    <a:blip r:embed="rId4"/>
                    <a:stretch/>
                  </pic:blipFill>
                  <pic:spPr>
                    <a:xfrm flipH="false" flipV="false" rot="0">
                      <a:ext cx="5669915" cy="494091"/>
                    </a:xfrm>
                    <a:prstGeom prst="rect"/>
                  </pic:spPr>
                </pic:pic>
              </a:graphicData>
            </a:graphic>
          </wp:inline>
        </w:drawing>
      </w:r>
    </w:p>
    <w:p w14:paraId="35010000">
      <w:pPr>
        <w:widowControl w:val="0"/>
        <w:spacing w:before="0" w:line="240" w:lineRule="auto"/>
        <w:ind w:firstLine="0" w:left="0"/>
        <w:jc w:val="both"/>
        <w:rPr>
          <w:sz w:val="28"/>
        </w:rPr>
      </w:pPr>
    </w:p>
    <w:p w14:paraId="36010000">
      <w:pPr>
        <w:widowControl w:val="0"/>
        <w:spacing w:before="0" w:line="240" w:lineRule="auto"/>
        <w:ind w:firstLine="709" w:left="0"/>
        <w:jc w:val="both"/>
        <w:rPr>
          <w:sz w:val="28"/>
        </w:rPr>
      </w:pPr>
      <w:r>
        <w:rPr>
          <w:sz w:val="28"/>
        </w:rPr>
        <w:t>где:</w:t>
      </w:r>
    </w:p>
    <w:p w14:paraId="37010000">
      <w:pPr>
        <w:widowControl w:val="0"/>
        <w:spacing w:before="0" w:line="240" w:lineRule="auto"/>
        <w:ind w:firstLine="709" w:left="0"/>
        <w:jc w:val="both"/>
        <w:rPr>
          <w:sz w:val="28"/>
        </w:rPr>
      </w:pPr>
      <w:r>
        <w:rPr>
          <w:sz w:val="28"/>
        </w:rPr>
        <w:t>n</w:t>
      </w:r>
      <w:r>
        <w:rPr>
          <w:sz w:val="28"/>
          <w:vertAlign w:val="subscript"/>
        </w:rPr>
        <w:t>обесп</w:t>
      </w:r>
      <w:r>
        <w:rPr>
          <w:sz w:val="28"/>
        </w:rPr>
        <w:t xml:space="preserve"> - количество объектов обеспечивающей инфраструктуры, в отношении которых осуществляется создание;</w:t>
      </w:r>
    </w:p>
    <w:p w14:paraId="38010000">
      <w:pPr>
        <w:widowControl w:val="0"/>
        <w:spacing w:before="0" w:line="240" w:lineRule="auto"/>
        <w:ind w:firstLine="709" w:left="0"/>
        <w:jc w:val="both"/>
        <w:rPr>
          <w:sz w:val="28"/>
        </w:rPr>
      </w:pPr>
      <w:r>
        <w:rPr>
          <w:sz w:val="28"/>
        </w:rPr>
        <w:t>T</w:t>
      </w:r>
      <w:r>
        <w:rPr>
          <w:sz w:val="28"/>
          <w:vertAlign w:val="subscript"/>
        </w:rPr>
        <w:t>0 обесп</w:t>
      </w:r>
      <w:r>
        <w:rPr>
          <w:sz w:val="28"/>
        </w:rPr>
        <w:t xml:space="preserve"> - первый период (месяц и год), в котором фактически понесены затраты на создание объектов обеспечивающей инфраструктуры, но не ранее даты принятия решения организацией, реализующей проект, об утверждении бюджета на капитальные вложения (расходы) (без учета бюджета на расходы, связанные с подготовкой проектной документации (проектно-сметной документации), проведением проектно-изыскательских и геолого-разведочных работ) в рамках проекта или даты принятия решения организацией, реализующей проект, об осуществлении проекта, в том числе об определении объема капитальных вложений (расходов), необходимых для его реализации;</w:t>
      </w:r>
    </w:p>
    <w:p w14:paraId="39010000">
      <w:pPr>
        <w:widowControl w:val="0"/>
        <w:spacing w:before="0" w:line="240" w:lineRule="auto"/>
        <w:ind w:firstLine="709" w:left="0"/>
        <w:jc w:val="both"/>
        <w:rPr>
          <w:sz w:val="28"/>
        </w:rPr>
      </w:pPr>
      <w:r>
        <w:rPr>
          <w:sz w:val="28"/>
        </w:rPr>
        <w:t>Т</w:t>
      </w:r>
      <w:r>
        <w:rPr>
          <w:sz w:val="28"/>
          <w:vertAlign w:val="subscript"/>
        </w:rPr>
        <w:t>i обесп</w:t>
      </w:r>
      <w:r>
        <w:rPr>
          <w:sz w:val="28"/>
        </w:rPr>
        <w:t xml:space="preserve"> - момент ввода в эксплуатацию объекта обеспечивающей инфраструктуры, если проектом предусмотрено создание этого объекта;</w:t>
      </w:r>
    </w:p>
    <w:p w14:paraId="3A010000">
      <w:pPr>
        <w:widowControl w:val="0"/>
        <w:spacing w:before="0" w:line="240" w:lineRule="auto"/>
        <w:ind w:firstLine="709" w:left="0"/>
        <w:jc w:val="both"/>
        <w:rPr>
          <w:sz w:val="28"/>
        </w:rPr>
      </w:pPr>
      <w:r>
        <w:rPr>
          <w:sz w:val="28"/>
        </w:rPr>
        <w:t>t</w:t>
      </w:r>
      <w:r>
        <w:rPr>
          <w:sz w:val="28"/>
          <w:vertAlign w:val="subscript"/>
        </w:rPr>
        <w:t>0 обесп</w:t>
      </w:r>
      <w:r>
        <w:rPr>
          <w:sz w:val="28"/>
        </w:rPr>
        <w:t xml:space="preserve"> - дата начала финансирования по кредитам и займам, облигационным займам, привлеченным для создания объекта обеспечивающей инфраструктуры, но не ранее даты принятия решения организацией, реализующей проект, об утверждении бюджета на капитальные вложения (расходы) (без учета бюджета на расходы, связанные с подготовкой проектной документации (проектно-сметной документации), проведением проектно-изыскательских и геолого-разведочных работ) в рамках проекта или даты принятия решения организацией, реализующей проект, об осуществлении проекта, в том числе об определении объема капитальных вложений (расходов), необходимых для его реализации;</w:t>
      </w:r>
    </w:p>
    <w:p w14:paraId="3B010000">
      <w:pPr>
        <w:widowControl w:val="0"/>
        <w:spacing w:before="0" w:line="240" w:lineRule="auto"/>
        <w:ind w:firstLine="709" w:left="0"/>
        <w:jc w:val="both"/>
        <w:rPr>
          <w:sz w:val="28"/>
        </w:rPr>
      </w:pPr>
      <w:r>
        <w:rPr>
          <w:sz w:val="28"/>
        </w:rPr>
        <w:t xml:space="preserve">S1 - сумма фактически понесенных затрат на проведение всех необходимых строительных, монтажных, пусконаладочных работ в целях создания p-го объекта обеспечивающей инфраструктуры, рассчитанная с учетом требований </w:t>
      </w:r>
      <w:r>
        <w:rPr>
          <w:sz w:val="28"/>
        </w:rPr>
        <w:t>абзаца одиннадцатого пункта 16 Порядка</w:t>
      </w:r>
      <w:r>
        <w:rPr>
          <w:sz w:val="28"/>
        </w:rPr>
        <w:t>;</w:t>
      </w:r>
    </w:p>
    <w:p w14:paraId="3C010000">
      <w:pPr>
        <w:widowControl w:val="0"/>
        <w:spacing w:before="0" w:line="240" w:lineRule="auto"/>
        <w:ind w:firstLine="709" w:left="0"/>
        <w:jc w:val="both"/>
        <w:rPr>
          <w:sz w:val="28"/>
        </w:rPr>
      </w:pPr>
      <w:r>
        <w:rPr>
          <w:sz w:val="28"/>
        </w:rPr>
        <w:t xml:space="preserve">S2 - сумма всех фактически понесенных затрат в соответствии с договорами подключения (технологического присоединения (примыкания) объектов обеспечивающей инфраструктуры к инженерным и транспортным сетям, рассчитанная с учетом требований </w:t>
      </w:r>
      <w:r>
        <w:rPr>
          <w:sz w:val="28"/>
        </w:rPr>
        <w:t xml:space="preserve">абзацев четырнадцатого и пятнадцатого пункта </w:t>
      </w:r>
      <w:r>
        <w:rPr>
          <w:sz w:val="28"/>
        </w:rPr>
        <w:t>16 Порядка</w:t>
      </w:r>
      <w:r>
        <w:rPr>
          <w:sz w:val="28"/>
        </w:rPr>
        <w:t>;</w:t>
      </w:r>
    </w:p>
    <w:p w14:paraId="3D010000">
      <w:pPr>
        <w:widowControl w:val="0"/>
        <w:spacing w:before="0" w:line="240" w:lineRule="auto"/>
        <w:ind w:firstLine="709" w:left="0"/>
        <w:jc w:val="both"/>
        <w:rPr>
          <w:sz w:val="28"/>
        </w:rPr>
      </w:pPr>
      <w:r>
        <w:rPr>
          <w:sz w:val="28"/>
        </w:rPr>
        <w:t xml:space="preserve">F1 - сумма всех фактически понесенных затрат на уплату процентов по кредитам и займам, привлеченным для создания p-го объекта обеспечивающей инфраструктуры в размере, рассчитанном с учетом требований </w:t>
      </w:r>
      <w:r>
        <w:rPr>
          <w:sz w:val="28"/>
        </w:rPr>
        <w:t xml:space="preserve">абзаца двенадцатого пункта </w:t>
      </w:r>
      <w:r>
        <w:rPr>
          <w:sz w:val="28"/>
        </w:rPr>
        <w:t>16 Порядка</w:t>
      </w:r>
      <w:r>
        <w:rPr>
          <w:sz w:val="28"/>
        </w:rPr>
        <w:t>;</w:t>
      </w:r>
    </w:p>
    <w:p w14:paraId="3E010000">
      <w:pPr>
        <w:widowControl w:val="0"/>
        <w:spacing w:before="0" w:line="240" w:lineRule="auto"/>
        <w:ind w:firstLine="709" w:left="0"/>
        <w:jc w:val="both"/>
        <w:rPr>
          <w:sz w:val="28"/>
        </w:rPr>
      </w:pPr>
      <w:r>
        <w:rPr>
          <w:sz w:val="28"/>
        </w:rPr>
        <w:t xml:space="preserve">F2 - сумма всех фактически понесенных затрат на уплату купонного дохода по облигационным займам, привлеченным для создания p-го объекта обеспечивающей инфраструктуры в размере, рассчитанном с учетом требований </w:t>
      </w:r>
      <w:r>
        <w:rPr>
          <w:sz w:val="28"/>
        </w:rPr>
        <w:t xml:space="preserve">абзаца тринадцатого пункта </w:t>
      </w:r>
      <w:r>
        <w:rPr>
          <w:sz w:val="28"/>
        </w:rPr>
        <w:t>16 Порядка</w:t>
      </w:r>
      <w:r>
        <w:rPr>
          <w:sz w:val="28"/>
        </w:rPr>
        <w:t>.</w:t>
      </w:r>
    </w:p>
    <w:p w14:paraId="3F010000">
      <w:pPr>
        <w:widowControl w:val="0"/>
        <w:spacing w:before="0" w:line="240" w:lineRule="auto"/>
        <w:ind w:firstLine="709" w:left="0"/>
        <w:jc w:val="both"/>
        <w:rPr>
          <w:sz w:val="28"/>
        </w:rPr>
      </w:pPr>
      <w:r>
        <w:rPr>
          <w:sz w:val="28"/>
        </w:rPr>
        <w:t>2(2). Объем фактически понесенных затрат на объекты сопутствующей инфраструктуры (C</w:t>
      </w:r>
      <w:r>
        <w:rPr>
          <w:sz w:val="28"/>
          <w:vertAlign w:val="subscript"/>
        </w:rPr>
        <w:t>инф соп</w:t>
      </w:r>
      <w:r>
        <w:rPr>
          <w:sz w:val="28"/>
        </w:rPr>
        <w:t>) определяется по формуле:</w:t>
      </w:r>
    </w:p>
    <w:p w14:paraId="40010000">
      <w:pPr>
        <w:widowControl w:val="0"/>
        <w:spacing w:before="0" w:line="240" w:lineRule="auto"/>
        <w:ind w:firstLine="0" w:left="0"/>
        <w:jc w:val="both"/>
        <w:rPr>
          <w:sz w:val="28"/>
        </w:rPr>
      </w:pPr>
    </w:p>
    <w:p w14:paraId="41010000">
      <w:pPr>
        <w:widowControl w:val="0"/>
        <w:spacing w:before="0" w:line="240" w:lineRule="auto"/>
        <w:ind w:firstLine="0" w:left="0"/>
        <w:jc w:val="center"/>
        <w:rPr>
          <w:sz w:val="28"/>
        </w:rPr>
      </w:pPr>
      <w:r>
        <w:drawing>
          <wp:inline>
            <wp:extent cx="5669915" cy="531836"/>
            <wp:effectExtent b="0" l="0" r="0" t="0"/>
            <wp:docPr hidden="false" id="8" name="Picture 8"/>
            <a:graphic>
              <a:graphicData uri="http://schemas.openxmlformats.org/drawingml/2006/picture">
                <pic:pic>
                  <pic:nvPicPr>
                    <pic:cNvPr hidden="false" id="7" name="Picture 7"/>
                    <pic:cNvPicPr preferRelativeResize="true"/>
                  </pic:nvPicPr>
                  <pic:blipFill>
                    <a:blip r:embed="rId5"/>
                    <a:stretch/>
                  </pic:blipFill>
                  <pic:spPr>
                    <a:xfrm flipH="false" flipV="false" rot="0">
                      <a:ext cx="5669915" cy="531836"/>
                    </a:xfrm>
                    <a:prstGeom prst="rect"/>
                  </pic:spPr>
                </pic:pic>
              </a:graphicData>
            </a:graphic>
          </wp:inline>
        </w:drawing>
      </w:r>
    </w:p>
    <w:p w14:paraId="42010000">
      <w:pPr>
        <w:widowControl w:val="0"/>
        <w:spacing w:before="0" w:line="240" w:lineRule="auto"/>
        <w:ind w:firstLine="0" w:left="0"/>
        <w:jc w:val="both"/>
        <w:rPr>
          <w:sz w:val="28"/>
        </w:rPr>
      </w:pPr>
    </w:p>
    <w:p w14:paraId="43010000">
      <w:pPr>
        <w:widowControl w:val="0"/>
        <w:spacing w:before="0" w:line="240" w:lineRule="auto"/>
        <w:ind w:firstLine="709" w:left="0"/>
        <w:jc w:val="both"/>
        <w:rPr>
          <w:sz w:val="28"/>
        </w:rPr>
      </w:pPr>
      <w:r>
        <w:rPr>
          <w:sz w:val="28"/>
        </w:rPr>
        <w:t>где:</w:t>
      </w:r>
    </w:p>
    <w:p w14:paraId="44010000">
      <w:pPr>
        <w:widowControl w:val="0"/>
        <w:spacing w:before="0" w:line="240" w:lineRule="auto"/>
        <w:ind w:firstLine="709" w:left="0"/>
        <w:jc w:val="both"/>
        <w:rPr>
          <w:sz w:val="28"/>
        </w:rPr>
      </w:pPr>
      <w:r>
        <w:rPr>
          <w:sz w:val="28"/>
        </w:rPr>
        <w:t>n</w:t>
      </w:r>
      <w:r>
        <w:rPr>
          <w:sz w:val="28"/>
          <w:vertAlign w:val="subscript"/>
        </w:rPr>
        <w:t>соп</w:t>
      </w:r>
      <w:r>
        <w:rPr>
          <w:sz w:val="28"/>
        </w:rPr>
        <w:t xml:space="preserve"> - количество объектов сопутствующей инфраструктуры, в отношении которых осуществляется создание;</w:t>
      </w:r>
    </w:p>
    <w:p w14:paraId="45010000">
      <w:pPr>
        <w:widowControl w:val="0"/>
        <w:spacing w:before="0" w:line="240" w:lineRule="auto"/>
        <w:ind w:firstLine="709" w:left="0"/>
        <w:jc w:val="both"/>
        <w:rPr>
          <w:sz w:val="28"/>
        </w:rPr>
      </w:pPr>
      <w:r>
        <w:rPr>
          <w:sz w:val="28"/>
        </w:rPr>
        <w:t>T</w:t>
      </w:r>
      <w:r>
        <w:rPr>
          <w:sz w:val="28"/>
          <w:vertAlign w:val="subscript"/>
        </w:rPr>
        <w:t>0 соп</w:t>
      </w:r>
      <w:r>
        <w:rPr>
          <w:sz w:val="28"/>
        </w:rPr>
        <w:t xml:space="preserve"> - первый период (месяц и год), в котором фактически понесены затраты на создание объектов сопутствующей инфраструктуры, но не ранее даты принятия решения организацией, реализующей проект, об утверждении бюджета на капитальные вложения (расходы) (без учета бюджета на расходы, связанные с подготовкой проектной документации (проектно-сметной документации), проведением проектно-изыскательских и геолого-разведочных работ) в рамках проекта или даты принятия решения организацией, реализующей проект, об осуществлении проекта, в том числе об определении объема капитальных вложений (расходов), необходимых для его реализации;</w:t>
      </w:r>
    </w:p>
    <w:p w14:paraId="46010000">
      <w:pPr>
        <w:widowControl w:val="0"/>
        <w:spacing w:before="0" w:line="240" w:lineRule="auto"/>
        <w:ind w:firstLine="709" w:left="0"/>
        <w:jc w:val="both"/>
        <w:rPr>
          <w:sz w:val="28"/>
        </w:rPr>
      </w:pPr>
      <w:r>
        <w:rPr>
          <w:sz w:val="28"/>
        </w:rPr>
        <w:t>T</w:t>
      </w:r>
      <w:r>
        <w:rPr>
          <w:sz w:val="28"/>
          <w:vertAlign w:val="subscript"/>
        </w:rPr>
        <w:t>i соп</w:t>
      </w:r>
      <w:r>
        <w:rPr>
          <w:sz w:val="28"/>
        </w:rPr>
        <w:t xml:space="preserve"> - момент ввода в эксплуатацию объекта сопутствующей инфраструктуры, если проектом предусмотрено создание этого объекта;</w:t>
      </w:r>
    </w:p>
    <w:p w14:paraId="47010000">
      <w:pPr>
        <w:widowControl w:val="0"/>
        <w:spacing w:before="0" w:line="240" w:lineRule="auto"/>
        <w:ind w:firstLine="709" w:left="0"/>
        <w:jc w:val="both"/>
        <w:rPr>
          <w:sz w:val="28"/>
        </w:rPr>
      </w:pPr>
      <w:r>
        <w:rPr>
          <w:sz w:val="28"/>
        </w:rPr>
        <w:t>t</w:t>
      </w:r>
      <w:r>
        <w:rPr>
          <w:sz w:val="28"/>
          <w:vertAlign w:val="subscript"/>
        </w:rPr>
        <w:t>0 соп</w:t>
      </w:r>
      <w:r>
        <w:rPr>
          <w:sz w:val="28"/>
        </w:rPr>
        <w:t xml:space="preserve"> - дата начала финансирования по кредитам и займам, облигационным займам, привлеченным для создания объекта сопутствующей инфраструктуры, но не ранее даты принятия решения организацией, реализующей проект, об утверждении бюджета на капитальные вложения (расходы) (без учета бюджета на расходы, связанные с подготовкой проектной документации (проектно-сметной документации), проведением проектно-изыскательских и геолого-разведочных работ) в рамках проекта или даты принятия решения организацией, реализующей проект, об осуществлении проекта, в том числе об определении объема капитальных вложений (расходов), необходимых для его реализации;</w:t>
      </w:r>
    </w:p>
    <w:p w14:paraId="48010000">
      <w:pPr>
        <w:widowControl w:val="0"/>
        <w:spacing w:before="0" w:line="240" w:lineRule="auto"/>
        <w:ind w:firstLine="709" w:left="0"/>
        <w:jc w:val="both"/>
        <w:rPr>
          <w:sz w:val="28"/>
        </w:rPr>
      </w:pPr>
      <w:r>
        <w:rPr>
          <w:sz w:val="28"/>
        </w:rPr>
        <w:t xml:space="preserve">K1 - сумма фактически понесенных затрат на проведение всех необходимых строительных, монтажных, пусконаладочных работ в целях создания p-го объекта сопутствующей инфраструктуры, рассчитанная с учетом требований </w:t>
      </w:r>
      <w:r>
        <w:rPr>
          <w:sz w:val="28"/>
        </w:rPr>
        <w:t xml:space="preserve">абзаца одиннадцатого пункта </w:t>
      </w:r>
      <w:r>
        <w:rPr>
          <w:sz w:val="28"/>
        </w:rPr>
        <w:t>16 Порядка</w:t>
      </w:r>
      <w:r>
        <w:rPr>
          <w:sz w:val="28"/>
        </w:rPr>
        <w:t>;</w:t>
      </w:r>
    </w:p>
    <w:p w14:paraId="49010000">
      <w:pPr>
        <w:widowControl w:val="0"/>
        <w:spacing w:before="0" w:line="240" w:lineRule="auto"/>
        <w:ind w:firstLine="709" w:left="0"/>
        <w:jc w:val="both"/>
        <w:rPr>
          <w:sz w:val="28"/>
        </w:rPr>
      </w:pPr>
      <w:r>
        <w:rPr>
          <w:sz w:val="28"/>
        </w:rPr>
        <w:t>K2 - сумма всех фактически понесенных затрат в соответствии с договорами подключения (технологического присоединения (примыкания) объектов сопутствующей инфраструктуры к инженерным и транспортным сетям, рассчитанная с учетом требований а</w:t>
      </w:r>
      <w:r>
        <w:rPr>
          <w:sz w:val="28"/>
        </w:rPr>
        <w:t xml:space="preserve">бзацев четырнадцатого и пятнадцатого пункта </w:t>
      </w:r>
      <w:r>
        <w:rPr>
          <w:sz w:val="28"/>
        </w:rPr>
        <w:t>16 Порядка</w:t>
      </w:r>
      <w:r>
        <w:rPr>
          <w:sz w:val="28"/>
        </w:rPr>
        <w:t>;</w:t>
      </w:r>
    </w:p>
    <w:p w14:paraId="4A010000">
      <w:pPr>
        <w:widowControl w:val="0"/>
        <w:spacing w:before="0" w:line="240" w:lineRule="auto"/>
        <w:ind w:firstLine="709" w:left="0"/>
        <w:jc w:val="both"/>
        <w:rPr>
          <w:sz w:val="28"/>
        </w:rPr>
      </w:pPr>
      <w:r>
        <w:rPr>
          <w:sz w:val="28"/>
        </w:rPr>
        <w:t xml:space="preserve">X1 - сумма всех фактически понесенных затрат на уплату процентов по кредитам и займам, привлеченным для создания p-го объекта сопутствующей инфраструктуры в размере, рассчитанном с учетом требований </w:t>
      </w:r>
      <w:r>
        <w:rPr>
          <w:sz w:val="28"/>
        </w:rPr>
        <w:t xml:space="preserve">абзаца двенадцатого пункта </w:t>
      </w:r>
      <w:r>
        <w:rPr>
          <w:sz w:val="28"/>
        </w:rPr>
        <w:t>16 Порядка</w:t>
      </w:r>
      <w:r>
        <w:rPr>
          <w:sz w:val="28"/>
        </w:rPr>
        <w:t>;</w:t>
      </w:r>
    </w:p>
    <w:p w14:paraId="4B010000">
      <w:pPr>
        <w:widowControl w:val="0"/>
        <w:spacing w:before="0" w:line="240" w:lineRule="auto"/>
        <w:ind w:firstLine="709" w:left="0"/>
        <w:jc w:val="both"/>
        <w:rPr>
          <w:sz w:val="28"/>
        </w:rPr>
      </w:pPr>
      <w:r>
        <w:rPr>
          <w:sz w:val="28"/>
        </w:rPr>
        <w:t xml:space="preserve">X2 - сумма всех фактически понесенных затрат на уплату купонного дохода по облигационным займам, привлеченным для создания p-го объекта сопутствующей инфраструктуры в размере, рассчитанном с учетом требований </w:t>
      </w:r>
      <w:r>
        <w:rPr>
          <w:sz w:val="28"/>
        </w:rPr>
        <w:t xml:space="preserve">абзаца тринадцатого пункта </w:t>
      </w:r>
      <w:r>
        <w:rPr>
          <w:sz w:val="28"/>
        </w:rPr>
        <w:t>16 Порядка</w:t>
      </w:r>
      <w:r>
        <w:rPr>
          <w:sz w:val="28"/>
        </w:rPr>
        <w:t>.</w:t>
      </w:r>
    </w:p>
    <w:p w14:paraId="4C010000">
      <w:pPr>
        <w:widowControl w:val="0"/>
        <w:spacing w:before="0" w:line="240" w:lineRule="auto"/>
        <w:ind w:firstLine="709" w:left="0"/>
        <w:jc w:val="both"/>
        <w:rPr>
          <w:sz w:val="28"/>
        </w:rPr>
      </w:pPr>
      <w:r>
        <w:rPr>
          <w:sz w:val="28"/>
        </w:rPr>
        <w:t>2(3). Объем фактически понесенных затрат на уплату процентов на инвестиционной стадии (C</w:t>
      </w:r>
      <w:r>
        <w:rPr>
          <w:sz w:val="28"/>
          <w:vertAlign w:val="subscript"/>
        </w:rPr>
        <w:t>ис</w:t>
      </w:r>
      <w:r>
        <w:rPr>
          <w:sz w:val="28"/>
        </w:rPr>
        <w:t>) определяется по формуле:</w:t>
      </w:r>
    </w:p>
    <w:p w14:paraId="4D010000">
      <w:pPr>
        <w:widowControl w:val="0"/>
        <w:spacing w:before="0" w:line="240" w:lineRule="auto"/>
        <w:ind w:firstLine="0" w:left="0"/>
        <w:jc w:val="both"/>
        <w:rPr>
          <w:sz w:val="28"/>
        </w:rPr>
      </w:pPr>
    </w:p>
    <w:p w14:paraId="4E010000">
      <w:pPr>
        <w:widowControl w:val="0"/>
        <w:spacing w:before="0" w:line="240" w:lineRule="auto"/>
        <w:ind w:firstLine="0" w:left="0"/>
        <w:jc w:val="center"/>
        <w:rPr>
          <w:sz w:val="28"/>
        </w:rPr>
      </w:pPr>
      <w:r>
        <w:drawing>
          <wp:inline>
            <wp:extent cx="2809525" cy="552381"/>
            <wp:effectExtent b="0" l="0" r="0" t="0"/>
            <wp:docPr hidden="false" id="10" name="Picture 10"/>
            <a:graphic>
              <a:graphicData uri="http://schemas.openxmlformats.org/drawingml/2006/picture">
                <pic:pic>
                  <pic:nvPicPr>
                    <pic:cNvPr hidden="false" id="9" name="Picture 9"/>
                    <pic:cNvPicPr preferRelativeResize="true"/>
                  </pic:nvPicPr>
                  <pic:blipFill>
                    <a:blip r:embed="rId6"/>
                    <a:stretch/>
                  </pic:blipFill>
                  <pic:spPr>
                    <a:xfrm flipH="false" flipV="false" rot="0">
                      <a:ext cx="2809525" cy="552381"/>
                    </a:xfrm>
                    <a:prstGeom prst="rect"/>
                  </pic:spPr>
                </pic:pic>
              </a:graphicData>
            </a:graphic>
          </wp:inline>
        </w:drawing>
      </w:r>
    </w:p>
    <w:p w14:paraId="4F010000">
      <w:pPr>
        <w:widowControl w:val="0"/>
        <w:spacing w:before="0" w:line="240" w:lineRule="auto"/>
        <w:ind w:firstLine="0" w:left="0"/>
        <w:jc w:val="both"/>
        <w:rPr>
          <w:sz w:val="28"/>
        </w:rPr>
      </w:pPr>
    </w:p>
    <w:p w14:paraId="50010000">
      <w:pPr>
        <w:widowControl w:val="0"/>
        <w:spacing w:before="0" w:line="240" w:lineRule="auto"/>
        <w:ind w:firstLine="709" w:left="0"/>
        <w:jc w:val="both"/>
        <w:rPr>
          <w:sz w:val="28"/>
        </w:rPr>
      </w:pPr>
      <w:r>
        <w:rPr>
          <w:sz w:val="28"/>
        </w:rPr>
        <w:t>где:</w:t>
      </w:r>
    </w:p>
    <w:p w14:paraId="51010000">
      <w:pPr>
        <w:widowControl w:val="0"/>
        <w:spacing w:before="0" w:line="240" w:lineRule="auto"/>
        <w:ind w:firstLine="709" w:left="0"/>
        <w:jc w:val="both"/>
        <w:rPr>
          <w:sz w:val="28"/>
        </w:rPr>
      </w:pPr>
      <w:r>
        <w:rPr>
          <w:sz w:val="28"/>
        </w:rPr>
        <w:t>n</w:t>
      </w:r>
      <w:r>
        <w:rPr>
          <w:sz w:val="28"/>
          <w:vertAlign w:val="subscript"/>
        </w:rPr>
        <w:t>ис</w:t>
      </w:r>
      <w:r>
        <w:rPr>
          <w:sz w:val="28"/>
        </w:rPr>
        <w:t xml:space="preserve"> - количество основных объектов проекта;</w:t>
      </w:r>
    </w:p>
    <w:p w14:paraId="52010000">
      <w:pPr>
        <w:widowControl w:val="0"/>
        <w:spacing w:before="0" w:line="240" w:lineRule="auto"/>
        <w:ind w:firstLine="709" w:left="0"/>
        <w:jc w:val="both"/>
        <w:rPr>
          <w:sz w:val="28"/>
        </w:rPr>
      </w:pPr>
      <w:r>
        <w:rPr>
          <w:sz w:val="28"/>
        </w:rPr>
        <w:t>t</w:t>
      </w:r>
      <w:r>
        <w:rPr>
          <w:sz w:val="28"/>
          <w:vertAlign w:val="subscript"/>
        </w:rPr>
        <w:t>0 ис</w:t>
      </w:r>
      <w:r>
        <w:rPr>
          <w:sz w:val="28"/>
        </w:rPr>
        <w:t xml:space="preserve"> - дата начала финансирования по кредитам и займам, облигационным займам, привлеченным для реализации проекта в части создания основного объекта проекта (основных объектов проекта), но не ранее даты начала инвестиционной стадии, определяемой в соответствии с пунктом 2.1 части 1 статьи 2 Федерального закона, или даты принятия организацией, реализующей проект, решения об утверждении бюджета на капитальные вложения (расходы) (без учета бюджета на расходы, связанные с подготовкой проектной документации (проектно-сметной документации), проведением проектно-изыскательских и геолого-разведочных работ) в рамках проекта или решения об осуществлении проекта, в том числе об определении объема капитальных вложений (расходов), необходимых для его реализации (используется более поздняя дата);</w:t>
      </w:r>
    </w:p>
    <w:p w14:paraId="53010000">
      <w:pPr>
        <w:widowControl w:val="0"/>
        <w:spacing w:before="0" w:line="240" w:lineRule="auto"/>
        <w:ind w:firstLine="709" w:left="0"/>
        <w:jc w:val="both"/>
        <w:rPr>
          <w:sz w:val="28"/>
        </w:rPr>
      </w:pPr>
      <w:r>
        <w:rPr>
          <w:sz w:val="28"/>
        </w:rPr>
        <w:t>T</w:t>
      </w:r>
      <w:r>
        <w:rPr>
          <w:sz w:val="28"/>
          <w:vertAlign w:val="subscript"/>
        </w:rPr>
        <w:t>i ис -</w:t>
      </w:r>
      <w:r>
        <w:rPr>
          <w:sz w:val="28"/>
        </w:rPr>
        <w:t xml:space="preserve"> дата окончания инвестиционной стадии, определяемая в соответствии с пунктом 2.1 части 1 статьи 2 Федерального закона;</w:t>
      </w:r>
    </w:p>
    <w:p w14:paraId="54010000">
      <w:pPr>
        <w:widowControl w:val="0"/>
        <w:spacing w:before="0" w:line="240" w:lineRule="auto"/>
        <w:ind w:firstLine="709" w:left="0"/>
        <w:jc w:val="both"/>
        <w:rPr>
          <w:sz w:val="28"/>
        </w:rPr>
      </w:pPr>
      <w:r>
        <w:rPr>
          <w:sz w:val="28"/>
        </w:rPr>
        <w:t xml:space="preserve">H1 - сумма всех фактически понесенных затрат на уплату процентов по кредитам и займам, привлеченным для создания p-го основного объекта проекта в размере, рассчитанном с учетом требований </w:t>
      </w:r>
      <w:r>
        <w:rPr>
          <w:sz w:val="28"/>
        </w:rPr>
        <w:t xml:space="preserve">абзаца двенадцатого пункта </w:t>
      </w:r>
      <w:r>
        <w:rPr>
          <w:sz w:val="28"/>
        </w:rPr>
        <w:t>16 Порядка</w:t>
      </w:r>
      <w:r>
        <w:rPr>
          <w:sz w:val="28"/>
        </w:rPr>
        <w:t>;</w:t>
      </w:r>
    </w:p>
    <w:p w14:paraId="55010000">
      <w:pPr>
        <w:widowControl w:val="0"/>
        <w:spacing w:before="0" w:line="240" w:lineRule="auto"/>
        <w:ind w:firstLine="709" w:left="0"/>
        <w:jc w:val="both"/>
        <w:rPr>
          <w:sz w:val="28"/>
        </w:rPr>
      </w:pPr>
      <w:r>
        <w:rPr>
          <w:sz w:val="28"/>
        </w:rPr>
        <w:t xml:space="preserve">H2 - сумма всех фактически понесенных затрат на уплату купонного дохода по облигационным займам, привлеченным для создания p-го основного объекта проекта в размере, рассчитанном с учетом требований </w:t>
      </w:r>
      <w:r>
        <w:rPr>
          <w:sz w:val="28"/>
        </w:rPr>
        <w:t xml:space="preserve">абзаца тринадцатого пункта </w:t>
      </w:r>
      <w:r>
        <w:rPr>
          <w:sz w:val="28"/>
        </w:rPr>
        <w:t>16 Порядка</w:t>
      </w:r>
      <w:r>
        <w:rPr>
          <w:sz w:val="28"/>
        </w:rPr>
        <w:t>.</w:t>
      </w:r>
    </w:p>
    <w:p w14:paraId="56010000">
      <w:pPr>
        <w:widowControl w:val="0"/>
        <w:spacing w:before="0" w:line="240" w:lineRule="auto"/>
        <w:ind w:firstLine="709" w:left="0"/>
        <w:jc w:val="both"/>
        <w:rPr>
          <w:sz w:val="28"/>
        </w:rPr>
      </w:pPr>
      <w:r>
        <w:rPr>
          <w:sz w:val="28"/>
        </w:rPr>
        <w:t>2(4). Объем фактически понесенных затрат на демонтаж (C</w:t>
      </w:r>
      <w:r>
        <w:rPr>
          <w:sz w:val="28"/>
          <w:vertAlign w:val="subscript"/>
        </w:rPr>
        <w:t>дем</w:t>
      </w:r>
      <w:r>
        <w:rPr>
          <w:sz w:val="28"/>
        </w:rPr>
        <w:t>) определяется по формуле:</w:t>
      </w:r>
    </w:p>
    <w:p w14:paraId="57010000">
      <w:pPr>
        <w:widowControl w:val="0"/>
        <w:spacing w:before="0" w:line="240" w:lineRule="auto"/>
        <w:ind w:firstLine="709" w:left="0"/>
        <w:jc w:val="both"/>
        <w:rPr>
          <w:sz w:val="28"/>
        </w:rPr>
      </w:pPr>
    </w:p>
    <w:p w14:paraId="58010000">
      <w:pPr>
        <w:widowControl w:val="0"/>
        <w:spacing w:before="0" w:line="240" w:lineRule="auto"/>
        <w:ind w:firstLine="0" w:left="0"/>
        <w:jc w:val="center"/>
        <w:rPr>
          <w:sz w:val="28"/>
        </w:rPr>
      </w:pPr>
      <w:r>
        <w:drawing>
          <wp:inline>
            <wp:extent cx="1304762" cy="533333"/>
            <wp:effectExtent b="0" l="0" r="0" t="0"/>
            <wp:docPr hidden="false" id="12" name="Picture 12"/>
            <a:graphic>
              <a:graphicData uri="http://schemas.openxmlformats.org/drawingml/2006/picture">
                <pic:pic>
                  <pic:nvPicPr>
                    <pic:cNvPr hidden="false" id="11" name="Picture 11"/>
                    <pic:cNvPicPr preferRelativeResize="true"/>
                  </pic:nvPicPr>
                  <pic:blipFill>
                    <a:blip r:embed="rId7"/>
                    <a:stretch/>
                  </pic:blipFill>
                  <pic:spPr>
                    <a:xfrm flipH="false" flipV="false" rot="0">
                      <a:ext cx="1304762" cy="533333"/>
                    </a:xfrm>
                    <a:prstGeom prst="rect"/>
                  </pic:spPr>
                </pic:pic>
              </a:graphicData>
            </a:graphic>
          </wp:inline>
        </w:drawing>
      </w:r>
    </w:p>
    <w:p w14:paraId="59010000">
      <w:pPr>
        <w:widowControl w:val="0"/>
        <w:spacing w:before="0" w:line="240" w:lineRule="auto"/>
        <w:ind w:firstLine="0" w:left="0"/>
        <w:jc w:val="center"/>
        <w:rPr>
          <w:sz w:val="28"/>
        </w:rPr>
      </w:pPr>
    </w:p>
    <w:p w14:paraId="5A010000">
      <w:pPr>
        <w:widowControl w:val="0"/>
        <w:spacing w:before="0" w:line="240" w:lineRule="auto"/>
        <w:ind w:firstLine="709" w:left="0"/>
        <w:jc w:val="both"/>
        <w:rPr>
          <w:sz w:val="28"/>
        </w:rPr>
      </w:pPr>
      <w:r>
        <w:rPr>
          <w:sz w:val="28"/>
        </w:rPr>
        <w:t>где:</w:t>
      </w:r>
    </w:p>
    <w:p w14:paraId="5B010000">
      <w:pPr>
        <w:widowControl w:val="0"/>
        <w:spacing w:before="0" w:line="240" w:lineRule="auto"/>
        <w:ind w:firstLine="709" w:left="0"/>
        <w:jc w:val="both"/>
        <w:rPr>
          <w:sz w:val="28"/>
        </w:rPr>
      </w:pPr>
      <w:r>
        <w:rPr>
          <w:sz w:val="28"/>
        </w:rPr>
        <w:t>n</w:t>
      </w:r>
      <w:r>
        <w:rPr>
          <w:sz w:val="28"/>
          <w:vertAlign w:val="subscript"/>
        </w:rPr>
        <w:t>дем</w:t>
      </w:r>
      <w:r>
        <w:rPr>
          <w:sz w:val="28"/>
        </w:rPr>
        <w:t xml:space="preserve"> - количество объектов, в отношении которых осуществлен демонтаж;</w:t>
      </w:r>
    </w:p>
    <w:p w14:paraId="5C010000">
      <w:pPr>
        <w:widowControl w:val="0"/>
        <w:spacing w:before="0" w:line="240" w:lineRule="auto"/>
        <w:ind w:firstLine="709" w:left="0"/>
        <w:jc w:val="both"/>
        <w:rPr>
          <w:sz w:val="28"/>
        </w:rPr>
      </w:pPr>
      <w:r>
        <w:rPr>
          <w:sz w:val="28"/>
        </w:rPr>
        <w:t>D1 - сумма фактически понесенных затрат на проведение всех необходимых работ в целях демонтажа p-го объекта, расположенного на территориях военных городков (в части жилищного строительства) (включая работы, связанные с подготовкой постройки к сносу, демонтаж конструкций, снос сооружений, погрузку и выгрузку строительного мусора, аренду необходимого оборудования), но не ранее даты принятия решения организацией, реализующей проект, об утверждении бюджета на капитальные вложения (расходы) (без учета бюджета на расходы, связанные с подготовкой проектной документации (проектно-сметной документации), проведением проектно-изыскательских и геолого-разведочных работ) в рамках проекта или даты принятия организацией, реализующей проект, решения об осуществлении проекта, в том числе об определении объема капитальных вложений (расходов), необходимых для его реализации.</w:t>
      </w:r>
    </w:p>
    <w:p w14:paraId="5D010000">
      <w:pPr>
        <w:widowControl w:val="0"/>
        <w:spacing w:before="0" w:line="240" w:lineRule="auto"/>
        <w:ind w:firstLine="709" w:left="0"/>
        <w:jc w:val="both"/>
        <w:rPr>
          <w:sz w:val="28"/>
        </w:rPr>
      </w:pPr>
      <w:r>
        <w:rPr>
          <w:sz w:val="28"/>
        </w:rPr>
        <w:t>2(5). Объем возмещения затрат в i-м периоде (L</w:t>
      </w:r>
      <w:r>
        <w:rPr>
          <w:sz w:val="28"/>
          <w:vertAlign w:val="subscript"/>
        </w:rPr>
        <w:t>j</w:t>
      </w:r>
      <w:r>
        <w:rPr>
          <w:sz w:val="28"/>
        </w:rPr>
        <w:t>) определяется по формуле:</w:t>
      </w:r>
    </w:p>
    <w:p w14:paraId="5E010000">
      <w:pPr>
        <w:widowControl w:val="0"/>
        <w:spacing w:before="0" w:line="240" w:lineRule="auto"/>
        <w:ind w:firstLine="709" w:left="0"/>
        <w:jc w:val="both"/>
        <w:rPr>
          <w:sz w:val="28"/>
        </w:rPr>
      </w:pPr>
    </w:p>
    <w:p w14:paraId="5F010000">
      <w:pPr>
        <w:widowControl w:val="0"/>
        <w:spacing w:before="0" w:line="240" w:lineRule="auto"/>
        <w:ind w:firstLine="0" w:left="0"/>
        <w:jc w:val="both"/>
        <w:rPr>
          <w:sz w:val="28"/>
        </w:rPr>
      </w:pPr>
      <w:r>
        <w:drawing>
          <wp:inline>
            <wp:extent cx="3723811" cy="771428"/>
            <wp:effectExtent b="0" l="0" r="0" t="0"/>
            <wp:docPr hidden="false" id="14" name="Picture 14"/>
            <a:graphic>
              <a:graphicData uri="http://schemas.openxmlformats.org/drawingml/2006/picture">
                <pic:pic>
                  <pic:nvPicPr>
                    <pic:cNvPr hidden="false" id="13" name="Picture 13"/>
                    <pic:cNvPicPr preferRelativeResize="true"/>
                  </pic:nvPicPr>
                  <pic:blipFill>
                    <a:blip r:embed="rId8"/>
                    <a:stretch/>
                  </pic:blipFill>
                  <pic:spPr>
                    <a:xfrm flipH="false" flipV="false" rot="0">
                      <a:ext cx="3723811" cy="771428"/>
                    </a:xfrm>
                    <a:prstGeom prst="rect"/>
                  </pic:spPr>
                </pic:pic>
              </a:graphicData>
            </a:graphic>
          </wp:inline>
        </w:drawing>
      </w:r>
    </w:p>
    <w:p w14:paraId="60010000">
      <w:pPr>
        <w:widowControl w:val="0"/>
        <w:spacing w:before="0" w:line="240" w:lineRule="auto"/>
        <w:ind w:firstLine="709" w:left="0"/>
        <w:jc w:val="both"/>
        <w:rPr>
          <w:sz w:val="28"/>
        </w:rPr>
      </w:pPr>
    </w:p>
    <w:p w14:paraId="61010000">
      <w:pPr>
        <w:widowControl w:val="0"/>
        <w:spacing w:before="0" w:line="240" w:lineRule="auto"/>
        <w:ind w:firstLine="709" w:left="0"/>
        <w:jc w:val="both"/>
        <w:rPr>
          <w:sz w:val="28"/>
        </w:rPr>
      </w:pPr>
      <w:r>
        <w:rPr>
          <w:sz w:val="28"/>
        </w:rPr>
        <w:t>где:</w:t>
      </w:r>
    </w:p>
    <w:p w14:paraId="62010000">
      <w:pPr>
        <w:widowControl w:val="0"/>
        <w:spacing w:before="0" w:line="240" w:lineRule="auto"/>
        <w:ind w:firstLine="709" w:left="0"/>
        <w:jc w:val="both"/>
        <w:rPr>
          <w:sz w:val="28"/>
        </w:rPr>
      </w:pPr>
      <w:r>
        <w:rPr>
          <w:sz w:val="28"/>
        </w:rPr>
        <w:t>i - период (календарный год);</w:t>
      </w:r>
    </w:p>
    <w:p w14:paraId="63010000">
      <w:pPr>
        <w:widowControl w:val="0"/>
        <w:spacing w:before="0" w:line="240" w:lineRule="auto"/>
        <w:ind w:firstLine="709" w:left="0"/>
        <w:jc w:val="both"/>
        <w:rPr>
          <w:sz w:val="28"/>
        </w:rPr>
      </w:pPr>
      <w:r>
        <w:rPr>
          <w:sz w:val="28"/>
        </w:rPr>
        <w:t>R - размер ранее возмещенных организации, реализующей проект, затрат, указанных в части 1 статьи 15 Федерального закона, в форме субсидии в соответствии с бюджетным законодательством Российской Федерации и (или) в форме налогового вычета в соответствии с законодательством Российской Федерации о налогах и сборах с начала возмещения затрат до i-го периода;</w:t>
      </w:r>
    </w:p>
    <w:p w14:paraId="64010000">
      <w:pPr>
        <w:widowControl w:val="0"/>
        <w:spacing w:before="0" w:line="240" w:lineRule="auto"/>
        <w:ind w:firstLine="709" w:left="0"/>
        <w:jc w:val="both"/>
        <w:rPr>
          <w:sz w:val="28"/>
        </w:rPr>
      </w:pPr>
      <w:r>
        <w:rPr>
          <w:sz w:val="28"/>
        </w:rPr>
        <w:t>V - размер предоставленных мер прямой государственной поддержки в отношении проекта, по которому предполагается предоставление меры государственной поддержки, предусмотренной частью 1 статьи 15 Федерального закона, до i-го периода;</w:t>
      </w:r>
    </w:p>
    <w:p w14:paraId="65010000">
      <w:pPr>
        <w:widowControl w:val="0"/>
        <w:spacing w:before="0" w:line="240" w:lineRule="auto"/>
        <w:ind w:firstLine="709" w:left="0"/>
        <w:jc w:val="both"/>
        <w:rPr>
          <w:sz w:val="28"/>
        </w:rPr>
      </w:pPr>
      <w:r>
        <w:rPr>
          <w:sz w:val="28"/>
        </w:rPr>
        <w:t>U - объем реального ущерба, указанного в части 3 статьи 12 Федерального закона;</w:t>
      </w:r>
    </w:p>
    <w:p w14:paraId="66010000">
      <w:pPr>
        <w:widowControl w:val="0"/>
        <w:spacing w:before="0" w:line="240" w:lineRule="auto"/>
        <w:ind w:firstLine="709" w:left="0"/>
        <w:jc w:val="both"/>
        <w:rPr>
          <w:sz w:val="28"/>
        </w:rPr>
      </w:pPr>
      <w:r>
        <w:rPr>
          <w:sz w:val="28"/>
        </w:rPr>
        <w:t>N - размер обязательных платежей, указанных в части 5 статьи 15 Федерального закона, исчисленных организацией, реализующей проект, для уплаты в соответствующий бюджет публично-правового образования, являющегося стороной соглашения о защите и поощрении капиталовложений, в связи с реализацией инвестиционного проекта.</w:t>
      </w:r>
    </w:p>
    <w:p w14:paraId="67010000">
      <w:pPr>
        <w:widowControl w:val="0"/>
        <w:spacing w:before="0" w:line="240" w:lineRule="auto"/>
        <w:ind w:firstLine="709" w:left="0"/>
        <w:jc w:val="both"/>
        <w:rPr>
          <w:sz w:val="28"/>
        </w:rPr>
      </w:pPr>
      <w:r>
        <w:rPr>
          <w:sz w:val="28"/>
        </w:rPr>
        <w:t>3. Расчет объема возмещения затрат, указанных в части 1 статьи 15 Федерального закона, представляется организацией, реализующей проект, согласно приложению.</w:t>
      </w:r>
    </w:p>
    <w:p w14:paraId="68010000">
      <w:pPr>
        <w:widowControl w:val="0"/>
        <w:spacing w:before="0" w:line="240" w:lineRule="auto"/>
        <w:ind w:firstLine="0" w:left="0"/>
        <w:jc w:val="both"/>
        <w:rPr>
          <w:sz w:val="28"/>
        </w:rPr>
      </w:pPr>
      <w:r>
        <w:br w:type="page"/>
      </w:r>
    </w:p>
    <w:p w14:paraId="69010000">
      <w:pPr>
        <w:widowControl w:val="0"/>
        <w:spacing w:before="0" w:line="240" w:lineRule="auto"/>
        <w:ind w:firstLine="0" w:left="0"/>
        <w:jc w:val="right"/>
        <w:outlineLvl w:val="2"/>
        <w:rPr>
          <w:sz w:val="28"/>
        </w:rPr>
      </w:pPr>
      <w:r>
        <w:rPr>
          <w:sz w:val="28"/>
        </w:rPr>
        <w:t>Приложение</w:t>
      </w:r>
    </w:p>
    <w:p w14:paraId="6A010000">
      <w:pPr>
        <w:widowControl w:val="0"/>
        <w:spacing w:before="0" w:line="240" w:lineRule="auto"/>
        <w:ind w:firstLine="0" w:left="0"/>
        <w:jc w:val="right"/>
        <w:rPr>
          <w:sz w:val="28"/>
        </w:rPr>
      </w:pPr>
      <w:r>
        <w:rPr>
          <w:sz w:val="28"/>
        </w:rPr>
        <w:t>к форме расчета объема возмещения</w:t>
      </w:r>
    </w:p>
    <w:p w14:paraId="6B010000">
      <w:pPr>
        <w:widowControl w:val="0"/>
        <w:spacing w:before="0" w:line="240" w:lineRule="auto"/>
        <w:ind w:firstLine="0" w:left="0"/>
        <w:jc w:val="right"/>
        <w:rPr>
          <w:sz w:val="28"/>
        </w:rPr>
      </w:pPr>
      <w:r>
        <w:rPr>
          <w:sz w:val="28"/>
        </w:rPr>
        <w:t>затрат, указанных в части 1</w:t>
      </w:r>
    </w:p>
    <w:p w14:paraId="6C010000">
      <w:pPr>
        <w:widowControl w:val="0"/>
        <w:spacing w:before="0" w:line="240" w:lineRule="auto"/>
        <w:ind w:firstLine="0" w:left="0"/>
        <w:jc w:val="right"/>
        <w:rPr>
          <w:sz w:val="28"/>
        </w:rPr>
      </w:pPr>
      <w:r>
        <w:rPr>
          <w:sz w:val="28"/>
        </w:rPr>
        <w:t>статьи 15 Федерального закона</w:t>
      </w:r>
    </w:p>
    <w:p w14:paraId="6D010000">
      <w:pPr>
        <w:widowControl w:val="0"/>
        <w:spacing w:before="0" w:line="240" w:lineRule="auto"/>
        <w:ind w:firstLine="0" w:left="0"/>
        <w:jc w:val="right"/>
        <w:rPr>
          <w:sz w:val="28"/>
        </w:rPr>
      </w:pPr>
      <w:r>
        <w:rPr>
          <w:sz w:val="28"/>
        </w:rPr>
        <w:t>«О защите и поощрении капиталовложений</w:t>
      </w:r>
    </w:p>
    <w:p w14:paraId="6E010000">
      <w:pPr>
        <w:widowControl w:val="0"/>
        <w:spacing w:before="0" w:line="240" w:lineRule="auto"/>
        <w:ind w:firstLine="0" w:left="0"/>
        <w:jc w:val="right"/>
        <w:rPr>
          <w:sz w:val="28"/>
        </w:rPr>
      </w:pPr>
      <w:r>
        <w:rPr>
          <w:sz w:val="28"/>
        </w:rPr>
        <w:t>в Российской Федерации», понесенных</w:t>
      </w:r>
    </w:p>
    <w:p w14:paraId="6F010000">
      <w:pPr>
        <w:widowControl w:val="0"/>
        <w:spacing w:before="0" w:line="240" w:lineRule="auto"/>
        <w:ind w:firstLine="0" w:left="0"/>
        <w:jc w:val="right"/>
        <w:rPr>
          <w:sz w:val="28"/>
        </w:rPr>
      </w:pPr>
      <w:r>
        <w:rPr>
          <w:sz w:val="28"/>
        </w:rPr>
        <w:t>организацией, реализующей проект,</w:t>
      </w:r>
    </w:p>
    <w:p w14:paraId="70010000">
      <w:pPr>
        <w:widowControl w:val="0"/>
        <w:spacing w:before="0" w:line="240" w:lineRule="auto"/>
        <w:ind w:firstLine="0" w:left="0"/>
        <w:jc w:val="right"/>
        <w:rPr>
          <w:sz w:val="28"/>
        </w:rPr>
      </w:pPr>
      <w:r>
        <w:rPr>
          <w:sz w:val="28"/>
        </w:rPr>
        <w:t>в рамках осуществления инвестиционного</w:t>
      </w:r>
    </w:p>
    <w:p w14:paraId="71010000">
      <w:pPr>
        <w:widowControl w:val="0"/>
        <w:spacing w:before="0" w:line="240" w:lineRule="auto"/>
        <w:ind w:firstLine="0" w:left="0"/>
        <w:jc w:val="right"/>
        <w:rPr>
          <w:sz w:val="28"/>
        </w:rPr>
      </w:pPr>
      <w:r>
        <w:rPr>
          <w:sz w:val="28"/>
        </w:rPr>
        <w:t>проекта, в отношении которого</w:t>
      </w:r>
    </w:p>
    <w:p w14:paraId="72010000">
      <w:pPr>
        <w:widowControl w:val="0"/>
        <w:spacing w:before="0" w:line="240" w:lineRule="auto"/>
        <w:ind w:firstLine="0" w:left="0"/>
        <w:jc w:val="right"/>
        <w:rPr>
          <w:sz w:val="28"/>
        </w:rPr>
      </w:pPr>
      <w:r>
        <w:rPr>
          <w:sz w:val="28"/>
        </w:rPr>
        <w:t>заключено соглашение о защите</w:t>
      </w:r>
    </w:p>
    <w:p w14:paraId="73010000">
      <w:pPr>
        <w:widowControl w:val="0"/>
        <w:spacing w:before="0" w:line="240" w:lineRule="auto"/>
        <w:ind w:firstLine="0" w:left="0"/>
        <w:jc w:val="right"/>
        <w:rPr>
          <w:sz w:val="28"/>
        </w:rPr>
      </w:pPr>
      <w:r>
        <w:rPr>
          <w:sz w:val="28"/>
        </w:rPr>
        <w:t>и поощрении капиталовложений</w:t>
      </w:r>
    </w:p>
    <w:p w14:paraId="74010000">
      <w:pPr>
        <w:widowControl w:val="0"/>
        <w:spacing w:before="0" w:line="240" w:lineRule="auto"/>
        <w:ind w:firstLine="0" w:left="0"/>
        <w:jc w:val="right"/>
        <w:rPr>
          <w:sz w:val="28"/>
        </w:rPr>
      </w:pPr>
    </w:p>
    <w:p w14:paraId="75010000">
      <w:pPr>
        <w:widowControl w:val="0"/>
        <w:spacing w:before="0" w:line="240" w:lineRule="auto"/>
        <w:ind w:firstLine="0" w:left="0"/>
        <w:jc w:val="center"/>
        <w:rPr>
          <w:sz w:val="28"/>
        </w:rPr>
      </w:pPr>
      <w:r>
        <w:rPr>
          <w:sz w:val="28"/>
        </w:rPr>
        <w:t>Р А С Ч Е Т</w:t>
      </w:r>
    </w:p>
    <w:p w14:paraId="76010000">
      <w:pPr>
        <w:widowControl w:val="0"/>
        <w:spacing w:before="0" w:line="240" w:lineRule="auto"/>
        <w:ind w:firstLine="0" w:left="0"/>
        <w:jc w:val="center"/>
        <w:rPr>
          <w:sz w:val="28"/>
        </w:rPr>
      </w:pPr>
      <w:r>
        <w:rPr>
          <w:sz w:val="28"/>
        </w:rPr>
        <w:t>объема возмещения затрат, указанных в части 1 статьи 15 Федерального закона «О защите и поощрении капиталовложений в Российской Федерации», понесенных организацией, реализующей проект, в рамках осуществления проекта, в отношении которого заключено соглашение о защите и поощрении капиталовложений</w:t>
      </w:r>
      <w:r>
        <w:t xml:space="preserve"> &lt;1&gt;</w:t>
      </w:r>
    </w:p>
    <w:p w14:paraId="77010000">
      <w:pPr>
        <w:widowControl w:val="0"/>
        <w:spacing w:before="0" w:line="240" w:lineRule="auto"/>
        <w:ind w:firstLine="0" w:left="0"/>
        <w:jc w:val="right"/>
        <w:rPr>
          <w:sz w:val="28"/>
        </w:rPr>
      </w:pPr>
    </w:p>
    <w:p w14:paraId="78010000">
      <w:pPr>
        <w:widowControl w:val="0"/>
        <w:spacing w:before="0" w:line="240" w:lineRule="auto"/>
        <w:ind w:firstLine="0" w:left="0"/>
        <w:jc w:val="both"/>
      </w:pPr>
    </w:p>
    <w:p w14:paraId="7901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701"/>
        <w:gridCol w:w="1276"/>
        <w:gridCol w:w="1188"/>
        <w:gridCol w:w="1342"/>
        <w:gridCol w:w="764"/>
        <w:gridCol w:w="1950"/>
        <w:gridCol w:w="1373"/>
        <w:gridCol w:w="336"/>
      </w:tblGrid>
      <w:tr>
        <w:tc>
          <w:tcPr>
            <w:tcW w:type="dxa" w:w="8929"/>
            <w:gridSpan w:val="8"/>
            <w:tcBorders>
              <w:bottom w:color="000000" w:sz="4" w:val="single"/>
            </w:tcBorders>
            <w:tcMar>
              <w:top w:type="dxa" w:w="0"/>
              <w:left w:type="dxa" w:w="0"/>
              <w:bottom w:type="dxa" w:w="0"/>
              <w:right w:type="dxa" w:w="0"/>
            </w:tcMar>
          </w:tcPr>
          <w:p w14:paraId="7A010000">
            <w:pPr>
              <w:widowControl w:val="0"/>
              <w:spacing w:before="0" w:line="240" w:lineRule="auto"/>
              <w:ind w:firstLine="0" w:left="0"/>
              <w:jc w:val="left"/>
            </w:pPr>
          </w:p>
        </w:tc>
      </w:tr>
      <w:tr>
        <w:tc>
          <w:tcPr>
            <w:tcW w:type="dxa" w:w="8929"/>
            <w:gridSpan w:val="8"/>
            <w:tcBorders>
              <w:top w:color="000000" w:sz="4" w:val="single"/>
            </w:tcBorders>
            <w:tcMar>
              <w:top w:type="dxa" w:w="0"/>
              <w:left w:type="dxa" w:w="0"/>
              <w:bottom w:type="dxa" w:w="0"/>
              <w:right w:type="dxa" w:w="0"/>
            </w:tcMar>
          </w:tcPr>
          <w:p w14:paraId="7B010000">
            <w:pPr>
              <w:widowControl w:val="0"/>
              <w:spacing w:before="0" w:line="240" w:lineRule="auto"/>
              <w:ind w:firstLine="0" w:left="0"/>
              <w:jc w:val="center"/>
            </w:pPr>
            <w:r>
              <w:t>(полное наименование проекта)</w:t>
            </w:r>
          </w:p>
        </w:tc>
      </w:tr>
      <w:tr>
        <w:tc>
          <w:tcPr>
            <w:tcW w:type="dxa" w:w="8929"/>
            <w:gridSpan w:val="8"/>
            <w:tcBorders>
              <w:bottom w:color="000000" w:sz="4" w:val="single"/>
            </w:tcBorders>
            <w:tcMar>
              <w:top w:type="dxa" w:w="0"/>
              <w:left w:type="dxa" w:w="0"/>
              <w:bottom w:type="dxa" w:w="0"/>
              <w:right w:type="dxa" w:w="0"/>
            </w:tcMar>
          </w:tcPr>
          <w:p w14:paraId="7C010000">
            <w:pPr>
              <w:widowControl w:val="0"/>
              <w:spacing w:before="0" w:line="240" w:lineRule="auto"/>
              <w:ind w:firstLine="0" w:left="0"/>
              <w:jc w:val="left"/>
            </w:pPr>
          </w:p>
        </w:tc>
      </w:tr>
      <w:tr>
        <w:tc>
          <w:tcPr>
            <w:tcW w:type="dxa" w:w="8929"/>
            <w:gridSpan w:val="8"/>
            <w:tcBorders>
              <w:top w:color="000000" w:sz="4" w:val="single"/>
            </w:tcBorders>
            <w:tcMar>
              <w:top w:type="dxa" w:w="0"/>
              <w:left w:type="dxa" w:w="0"/>
              <w:bottom w:type="dxa" w:w="0"/>
              <w:right w:type="dxa" w:w="0"/>
            </w:tcMar>
          </w:tcPr>
          <w:p w14:paraId="7D010000">
            <w:pPr>
              <w:widowControl w:val="0"/>
              <w:spacing w:before="0" w:line="240" w:lineRule="auto"/>
              <w:ind w:firstLine="0" w:left="0"/>
              <w:jc w:val="center"/>
            </w:pPr>
            <w:r>
              <w:t>(полное наименование организации)</w:t>
            </w:r>
          </w:p>
        </w:tc>
      </w:tr>
      <w:tr>
        <w:tc>
          <w:tcPr>
            <w:tcW w:type="dxa" w:w="8929"/>
            <w:gridSpan w:val="8"/>
            <w:tcBorders>
              <w:bottom w:color="000000" w:sz="4" w:val="single"/>
            </w:tcBorders>
            <w:tcMar>
              <w:top w:type="dxa" w:w="0"/>
              <w:left w:type="dxa" w:w="0"/>
              <w:bottom w:type="dxa" w:w="0"/>
              <w:right w:type="dxa" w:w="0"/>
            </w:tcMar>
          </w:tcPr>
          <w:p w14:paraId="7E010000">
            <w:pPr>
              <w:widowControl w:val="0"/>
              <w:spacing w:before="0" w:line="240" w:lineRule="auto"/>
              <w:ind w:firstLine="0" w:left="0"/>
              <w:jc w:val="left"/>
            </w:pPr>
          </w:p>
        </w:tc>
      </w:tr>
      <w:tr>
        <w:tc>
          <w:tcPr>
            <w:tcW w:type="dxa" w:w="701"/>
            <w:tcBorders>
              <w:top w:color="000000" w:sz="4" w:val="single"/>
            </w:tcBorders>
            <w:tcMar>
              <w:top w:type="dxa" w:w="0"/>
              <w:left w:type="dxa" w:w="0"/>
              <w:bottom w:type="dxa" w:w="0"/>
              <w:right w:type="dxa" w:w="0"/>
            </w:tcMar>
            <w:vAlign w:val="bottom"/>
          </w:tcPr>
          <w:p w14:paraId="7F010000">
            <w:pPr>
              <w:widowControl w:val="0"/>
              <w:spacing w:before="0" w:line="240" w:lineRule="auto"/>
              <w:ind w:firstLine="0" w:left="0"/>
              <w:jc w:val="left"/>
            </w:pPr>
            <w:r>
              <w:t>ИНН</w:t>
            </w:r>
          </w:p>
        </w:tc>
        <w:tc>
          <w:tcPr>
            <w:tcW w:type="dxa" w:w="3806"/>
            <w:gridSpan w:val="3"/>
            <w:tcBorders>
              <w:top w:color="000000" w:sz="4" w:val="single"/>
              <w:bottom w:color="000000" w:sz="4" w:val="single"/>
            </w:tcBorders>
            <w:tcMar>
              <w:top w:type="dxa" w:w="0"/>
              <w:left w:type="dxa" w:w="0"/>
              <w:bottom w:type="dxa" w:w="0"/>
              <w:right w:type="dxa" w:w="0"/>
            </w:tcMar>
            <w:vAlign w:val="bottom"/>
          </w:tcPr>
          <w:p w14:paraId="80010000">
            <w:pPr>
              <w:widowControl w:val="0"/>
              <w:spacing w:before="0" w:line="240" w:lineRule="auto"/>
              <w:ind w:firstLine="0" w:left="0"/>
              <w:jc w:val="left"/>
            </w:pPr>
          </w:p>
        </w:tc>
        <w:tc>
          <w:tcPr>
            <w:tcW w:type="dxa" w:w="764"/>
            <w:tcBorders>
              <w:top w:color="000000" w:sz="4" w:val="single"/>
            </w:tcBorders>
            <w:tcMar>
              <w:top w:type="dxa" w:w="0"/>
              <w:left w:type="dxa" w:w="0"/>
              <w:bottom w:type="dxa" w:w="0"/>
              <w:right w:type="dxa" w:w="0"/>
            </w:tcMar>
            <w:vAlign w:val="bottom"/>
          </w:tcPr>
          <w:p w14:paraId="81010000">
            <w:pPr>
              <w:widowControl w:val="0"/>
              <w:spacing w:before="0" w:line="240" w:lineRule="auto"/>
              <w:ind w:firstLine="0" w:left="0"/>
              <w:jc w:val="left"/>
            </w:pPr>
            <w:r>
              <w:t>, КПП</w:t>
            </w:r>
          </w:p>
        </w:tc>
        <w:tc>
          <w:tcPr>
            <w:tcW w:type="dxa" w:w="3659"/>
            <w:gridSpan w:val="3"/>
            <w:tcBorders>
              <w:top w:color="000000" w:sz="4" w:val="single"/>
              <w:bottom w:color="000000" w:sz="4" w:val="single"/>
            </w:tcBorders>
            <w:tcMar>
              <w:top w:type="dxa" w:w="0"/>
              <w:left w:type="dxa" w:w="0"/>
              <w:bottom w:type="dxa" w:w="0"/>
              <w:right w:type="dxa" w:w="0"/>
            </w:tcMar>
            <w:vAlign w:val="bottom"/>
          </w:tcPr>
          <w:p w14:paraId="82010000">
            <w:pPr>
              <w:widowControl w:val="0"/>
              <w:spacing w:before="0" w:line="240" w:lineRule="auto"/>
              <w:ind w:firstLine="0" w:left="0"/>
              <w:jc w:val="left"/>
            </w:pPr>
          </w:p>
        </w:tc>
      </w:tr>
      <w:tr>
        <w:tc>
          <w:tcPr>
            <w:tcW w:type="dxa" w:w="8929"/>
            <w:gridSpan w:val="8"/>
            <w:tcMar>
              <w:top w:type="dxa" w:w="0"/>
              <w:left w:type="dxa" w:w="0"/>
              <w:bottom w:type="dxa" w:w="0"/>
              <w:right w:type="dxa" w:w="0"/>
            </w:tcMar>
          </w:tcPr>
          <w:p w14:paraId="83010000">
            <w:pPr>
              <w:widowControl w:val="0"/>
              <w:spacing w:before="0" w:line="240" w:lineRule="auto"/>
              <w:ind w:firstLine="283" w:left="0"/>
              <w:jc w:val="both"/>
            </w:pPr>
            <w:r>
              <w:t>1. Объем мер прямой государственной поддержки (если применимо) ____________________________ (рублей)</w:t>
            </w:r>
          </w:p>
          <w:p w14:paraId="84010000">
            <w:pPr>
              <w:widowControl w:val="0"/>
              <w:spacing w:before="0" w:line="240" w:lineRule="auto"/>
              <w:ind w:firstLine="283" w:left="0"/>
              <w:jc w:val="both"/>
            </w:pPr>
            <w:r>
              <w:t xml:space="preserve">2. Объем и форма ранее возмещенных затрат, указанных в части 1 статьи 15 Федерального закона </w:t>
            </w:r>
            <w:r>
              <w:t>от 01.04.2020 № 69-ФЗ</w:t>
            </w:r>
            <w:r>
              <w:t xml:space="preserve"> «О защите и поощрении капиталовложений в Российской Федерации» (далее - Федеральный закон), на дату представления документов:</w:t>
            </w:r>
          </w:p>
        </w:tc>
      </w:tr>
      <w:tr>
        <w:tc>
          <w:tcPr>
            <w:tcW w:type="dxa" w:w="1977"/>
            <w:gridSpan w:val="2"/>
            <w:tcBorders>
              <w:bottom w:color="000000" w:sz="4" w:val="single"/>
            </w:tcBorders>
            <w:tcMar>
              <w:top w:type="dxa" w:w="0"/>
              <w:left w:type="dxa" w:w="0"/>
              <w:bottom w:type="dxa" w:w="0"/>
              <w:right w:type="dxa" w:w="0"/>
            </w:tcMar>
          </w:tcPr>
          <w:p w14:paraId="85010000">
            <w:pPr>
              <w:widowControl w:val="0"/>
              <w:spacing w:before="0" w:line="240" w:lineRule="auto"/>
              <w:ind w:firstLine="0" w:left="0"/>
              <w:jc w:val="left"/>
            </w:pPr>
          </w:p>
        </w:tc>
        <w:tc>
          <w:tcPr>
            <w:tcW w:type="dxa" w:w="5243"/>
            <w:gridSpan w:val="4"/>
            <w:tcMar>
              <w:top w:type="dxa" w:w="0"/>
              <w:left w:type="dxa" w:w="0"/>
              <w:bottom w:type="dxa" w:w="0"/>
              <w:right w:type="dxa" w:w="0"/>
            </w:tcMar>
            <w:vAlign w:val="bottom"/>
          </w:tcPr>
          <w:p w14:paraId="86010000">
            <w:pPr>
              <w:widowControl w:val="0"/>
              <w:spacing w:before="0" w:line="240" w:lineRule="auto"/>
              <w:ind w:firstLine="0" w:left="0"/>
              <w:jc w:val="center"/>
            </w:pPr>
            <w:r>
              <w:t>(рублей) в форме субсидии за счет средств &lt;2&gt;</w:t>
            </w:r>
          </w:p>
        </w:tc>
        <w:tc>
          <w:tcPr>
            <w:tcW w:type="dxa" w:w="1709"/>
            <w:gridSpan w:val="2"/>
            <w:tcBorders>
              <w:bottom w:color="000000" w:sz="4" w:val="single"/>
            </w:tcBorders>
            <w:tcMar>
              <w:top w:type="dxa" w:w="0"/>
              <w:left w:type="dxa" w:w="0"/>
              <w:bottom w:type="dxa" w:w="0"/>
              <w:right w:type="dxa" w:w="0"/>
            </w:tcMar>
          </w:tcPr>
          <w:p w14:paraId="87010000">
            <w:pPr>
              <w:widowControl w:val="0"/>
              <w:spacing w:before="0" w:line="240" w:lineRule="auto"/>
              <w:ind w:firstLine="0" w:left="0"/>
              <w:jc w:val="left"/>
            </w:pPr>
          </w:p>
        </w:tc>
      </w:tr>
      <w:tr>
        <w:tc>
          <w:tcPr>
            <w:tcW w:type="dxa" w:w="8593"/>
            <w:gridSpan w:val="7"/>
            <w:tcBorders>
              <w:bottom w:color="000000" w:sz="4" w:val="single"/>
            </w:tcBorders>
            <w:tcMar>
              <w:top w:type="dxa" w:w="0"/>
              <w:left w:type="dxa" w:w="0"/>
              <w:bottom w:type="dxa" w:w="0"/>
              <w:right w:type="dxa" w:w="0"/>
            </w:tcMar>
          </w:tcPr>
          <w:p w14:paraId="88010000">
            <w:pPr>
              <w:widowControl w:val="0"/>
              <w:spacing w:before="0" w:line="240" w:lineRule="auto"/>
              <w:ind w:firstLine="0" w:left="0"/>
              <w:jc w:val="left"/>
            </w:pPr>
          </w:p>
        </w:tc>
        <w:tc>
          <w:tcPr>
            <w:tcW w:type="dxa" w:w="336"/>
            <w:tcBorders>
              <w:top w:color="000000" w:sz="4" w:val="single"/>
            </w:tcBorders>
            <w:tcMar>
              <w:top w:type="dxa" w:w="0"/>
              <w:left w:type="dxa" w:w="0"/>
              <w:bottom w:type="dxa" w:w="0"/>
              <w:right w:type="dxa" w:w="0"/>
            </w:tcMar>
            <w:vAlign w:val="bottom"/>
          </w:tcPr>
          <w:p w14:paraId="89010000">
            <w:pPr>
              <w:widowControl w:val="0"/>
              <w:spacing w:before="0" w:line="240" w:lineRule="auto"/>
              <w:ind w:firstLine="0" w:left="0"/>
              <w:jc w:val="both"/>
            </w:pPr>
            <w:r>
              <w:t>;</w:t>
            </w:r>
          </w:p>
        </w:tc>
      </w:tr>
      <w:tr>
        <w:tc>
          <w:tcPr>
            <w:tcW w:type="dxa" w:w="3165"/>
            <w:gridSpan w:val="3"/>
            <w:tcBorders>
              <w:top w:color="000000" w:sz="4" w:val="single"/>
              <w:bottom w:color="000000" w:sz="4" w:val="single"/>
            </w:tcBorders>
            <w:tcMar>
              <w:top w:type="dxa" w:w="0"/>
              <w:left w:type="dxa" w:w="0"/>
              <w:bottom w:type="dxa" w:w="0"/>
              <w:right w:type="dxa" w:w="0"/>
            </w:tcMar>
          </w:tcPr>
          <w:p w14:paraId="8A010000">
            <w:pPr>
              <w:widowControl w:val="0"/>
              <w:spacing w:before="0" w:line="240" w:lineRule="auto"/>
              <w:ind w:firstLine="0" w:left="0"/>
              <w:jc w:val="left"/>
            </w:pPr>
          </w:p>
        </w:tc>
        <w:tc>
          <w:tcPr>
            <w:tcW w:type="dxa" w:w="5764"/>
            <w:gridSpan w:val="5"/>
            <w:tcMar>
              <w:top w:type="dxa" w:w="0"/>
              <w:left w:type="dxa" w:w="0"/>
              <w:bottom w:type="dxa" w:w="0"/>
              <w:right w:type="dxa" w:w="0"/>
            </w:tcMar>
            <w:vAlign w:val="bottom"/>
          </w:tcPr>
          <w:p w14:paraId="8B010000">
            <w:pPr>
              <w:widowControl w:val="0"/>
              <w:spacing w:before="0" w:line="240" w:lineRule="auto"/>
              <w:ind w:firstLine="0" w:left="0"/>
              <w:jc w:val="both"/>
            </w:pPr>
            <w:r>
              <w:t>(рублей) в форме налогового вычета</w:t>
            </w:r>
          </w:p>
        </w:tc>
      </w:tr>
      <w:tr>
        <w:tc>
          <w:tcPr>
            <w:tcW w:type="dxa" w:w="8929"/>
            <w:gridSpan w:val="8"/>
            <w:tcMar>
              <w:top w:type="dxa" w:w="0"/>
              <w:left w:type="dxa" w:w="0"/>
              <w:bottom w:type="dxa" w:w="0"/>
              <w:right w:type="dxa" w:w="0"/>
            </w:tcMar>
          </w:tcPr>
          <w:p w14:paraId="8C010000">
            <w:pPr>
              <w:widowControl w:val="0"/>
              <w:spacing w:before="0" w:line="240" w:lineRule="auto"/>
              <w:ind w:firstLine="283" w:left="0"/>
              <w:jc w:val="both"/>
            </w:pPr>
            <w:r>
              <w:t>3. Срок начала возмещения затрат, указанных в части 1 статьи 15 Федерального закона, «__» _______________ 20__ г.</w:t>
            </w:r>
          </w:p>
        </w:tc>
      </w:tr>
      <w:tr>
        <w:tc>
          <w:tcPr>
            <w:tcW w:type="dxa" w:w="8929"/>
            <w:gridSpan w:val="8"/>
            <w:tcMar>
              <w:top w:type="dxa" w:w="0"/>
              <w:left w:type="dxa" w:w="0"/>
              <w:bottom w:type="dxa" w:w="0"/>
              <w:right w:type="dxa" w:w="0"/>
            </w:tcMar>
          </w:tcPr>
          <w:p w14:paraId="8D010000">
            <w:pPr>
              <w:widowControl w:val="0"/>
              <w:spacing w:before="0" w:line="240" w:lineRule="auto"/>
              <w:ind w:firstLine="283" w:left="0"/>
              <w:jc w:val="both"/>
            </w:pPr>
            <w:r>
              <w:t>4. Объем возмещенного реального ущерба (если применимо) ______________________________ (рублей)</w:t>
            </w:r>
          </w:p>
        </w:tc>
      </w:tr>
    </w:tbl>
    <w:p w14:paraId="8E01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8929"/>
      </w:tblGrid>
      <w:tr>
        <w:tc>
          <w:tcPr>
            <w:tcW w:type="dxa" w:w="8929"/>
            <w:tcMar>
              <w:top w:type="dxa" w:w="0"/>
              <w:left w:type="dxa" w:w="0"/>
              <w:bottom w:type="dxa" w:w="0"/>
              <w:right w:type="dxa" w:w="0"/>
            </w:tcMar>
          </w:tcPr>
          <w:p w14:paraId="8F010000">
            <w:pPr>
              <w:widowControl w:val="0"/>
              <w:spacing w:before="0" w:line="240" w:lineRule="auto"/>
              <w:ind w:firstLine="0" w:left="0"/>
              <w:jc w:val="center"/>
            </w:pPr>
            <w:r>
              <w:t>Объем возмещения затрат в связи с реализацией проекта</w:t>
            </w:r>
          </w:p>
        </w:tc>
      </w:tr>
    </w:tbl>
    <w:p w14:paraId="9001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558"/>
        <w:gridCol w:w="2065"/>
        <w:gridCol w:w="1451"/>
        <w:gridCol w:w="1284"/>
        <w:gridCol w:w="1116"/>
        <w:gridCol w:w="2455"/>
      </w:tblGrid>
      <w:tr>
        <w:tc>
          <w:tcPr>
            <w:tcW w:type="dxa" w:w="558"/>
            <w:tcBorders>
              <w:top w:color="000000" w:sz="4" w:val="single"/>
              <w:left w:color="000000" w:sz="4" w:val="single"/>
              <w:bottom w:color="000000" w:sz="4" w:val="single"/>
              <w:right w:color="000000" w:sz="4" w:val="single"/>
            </w:tcBorders>
            <w:tcMar>
              <w:top w:type="dxa" w:w="0"/>
              <w:left w:type="dxa" w:w="0"/>
              <w:bottom w:type="dxa" w:w="0"/>
              <w:right w:type="dxa" w:w="0"/>
            </w:tcMar>
          </w:tcPr>
          <w:p w14:paraId="91010000">
            <w:pPr>
              <w:widowControl w:val="0"/>
              <w:spacing w:before="0" w:line="240" w:lineRule="auto"/>
              <w:ind w:firstLine="0" w:left="0"/>
              <w:jc w:val="center"/>
            </w:pPr>
            <w:r>
              <w:t>№ п/п</w:t>
            </w:r>
          </w:p>
        </w:tc>
        <w:tc>
          <w:tcPr>
            <w:tcW w:type="dxa" w:w="2065"/>
            <w:tcBorders>
              <w:top w:color="000000" w:sz="4" w:val="single"/>
              <w:left w:color="000000" w:sz="4" w:val="single"/>
              <w:bottom w:color="000000" w:sz="4" w:val="single"/>
              <w:right w:color="000000" w:sz="4" w:val="single"/>
            </w:tcBorders>
            <w:tcMar>
              <w:top w:type="dxa" w:w="0"/>
              <w:left w:type="dxa" w:w="0"/>
              <w:bottom w:type="dxa" w:w="0"/>
              <w:right w:type="dxa" w:w="0"/>
            </w:tcMar>
          </w:tcPr>
          <w:p w14:paraId="92010000">
            <w:pPr>
              <w:widowControl w:val="0"/>
              <w:spacing w:before="0" w:line="240" w:lineRule="auto"/>
              <w:ind w:firstLine="0" w:left="0"/>
              <w:jc w:val="center"/>
            </w:pPr>
            <w:r>
              <w:t>Вид затрат</w:t>
            </w:r>
          </w:p>
        </w:tc>
        <w:tc>
          <w:tcPr>
            <w:tcW w:type="dxa" w:w="1451"/>
            <w:tcBorders>
              <w:top w:color="000000" w:sz="4" w:val="single"/>
              <w:left w:color="000000" w:sz="4" w:val="single"/>
              <w:bottom w:color="000000" w:sz="4" w:val="single"/>
              <w:right w:color="000000" w:sz="4" w:val="single"/>
            </w:tcBorders>
            <w:tcMar>
              <w:top w:type="dxa" w:w="0"/>
              <w:left w:type="dxa" w:w="0"/>
              <w:bottom w:type="dxa" w:w="0"/>
              <w:right w:type="dxa" w:w="0"/>
            </w:tcMar>
          </w:tcPr>
          <w:p w14:paraId="93010000">
            <w:pPr>
              <w:widowControl w:val="0"/>
              <w:spacing w:before="0" w:line="240" w:lineRule="auto"/>
              <w:ind w:firstLine="0" w:left="0"/>
              <w:jc w:val="center"/>
            </w:pPr>
            <w:r>
              <w:t>Объем фактически понесенных затрат (без учета НДС) &lt;3&gt;, рублей</w:t>
            </w:r>
          </w:p>
        </w:tc>
        <w:tc>
          <w:tcPr>
            <w:tcW w:type="dxa" w:w="1284"/>
            <w:tcBorders>
              <w:top w:color="000000" w:sz="4" w:val="single"/>
              <w:left w:color="000000" w:sz="4" w:val="single"/>
              <w:bottom w:color="000000" w:sz="4" w:val="single"/>
              <w:right w:color="000000" w:sz="4" w:val="single"/>
            </w:tcBorders>
            <w:tcMar>
              <w:top w:type="dxa" w:w="0"/>
              <w:left w:type="dxa" w:w="0"/>
              <w:bottom w:type="dxa" w:w="0"/>
              <w:right w:type="dxa" w:w="0"/>
            </w:tcMar>
          </w:tcPr>
          <w:p w14:paraId="94010000">
            <w:pPr>
              <w:widowControl w:val="0"/>
              <w:spacing w:before="0" w:line="240" w:lineRule="auto"/>
              <w:ind w:firstLine="0" w:left="0"/>
              <w:jc w:val="center"/>
            </w:pPr>
            <w:r>
              <w:t>Предельный объем возмещаемых затрат, процентов</w:t>
            </w:r>
          </w:p>
        </w:tc>
        <w:tc>
          <w:tcPr>
            <w:tcW w:type="dxa" w:w="1116"/>
            <w:tcBorders>
              <w:top w:color="000000" w:sz="4" w:val="single"/>
              <w:left w:color="000000" w:sz="4" w:val="single"/>
              <w:bottom w:color="000000" w:sz="4" w:val="single"/>
              <w:right w:color="000000" w:sz="4" w:val="single"/>
            </w:tcBorders>
            <w:tcMar>
              <w:top w:type="dxa" w:w="0"/>
              <w:left w:type="dxa" w:w="0"/>
              <w:bottom w:type="dxa" w:w="0"/>
              <w:right w:type="dxa" w:w="0"/>
            </w:tcMar>
          </w:tcPr>
          <w:p w14:paraId="95010000">
            <w:pPr>
              <w:widowControl w:val="0"/>
              <w:spacing w:before="0" w:line="240" w:lineRule="auto"/>
              <w:ind w:firstLine="0" w:left="0"/>
              <w:jc w:val="center"/>
            </w:pPr>
            <w:r>
              <w:t>Предельный срок возмещения затрат, лет</w:t>
            </w:r>
          </w:p>
        </w:tc>
        <w:tc>
          <w:tcPr>
            <w:tcW w:type="dxa" w:w="2455"/>
            <w:tcBorders>
              <w:top w:color="000000" w:sz="4" w:val="single"/>
              <w:left w:color="000000" w:sz="4" w:val="single"/>
              <w:bottom w:color="000000" w:sz="4" w:val="single"/>
              <w:right w:color="000000" w:sz="4" w:val="single"/>
            </w:tcBorders>
            <w:tcMar>
              <w:top w:type="dxa" w:w="0"/>
              <w:left w:type="dxa" w:w="0"/>
              <w:bottom w:type="dxa" w:w="0"/>
              <w:right w:type="dxa" w:w="0"/>
            </w:tcMar>
          </w:tcPr>
          <w:p w14:paraId="96010000">
            <w:pPr>
              <w:widowControl w:val="0"/>
              <w:spacing w:before="0" w:line="240" w:lineRule="auto"/>
              <w:ind w:firstLine="0" w:left="0"/>
              <w:jc w:val="center"/>
            </w:pPr>
            <w:r>
              <w:t>Объем возмещения затрат, рублей</w:t>
            </w:r>
            <w:r>
              <w:t> </w:t>
            </w:r>
          </w:p>
          <w:p w14:paraId="97010000">
            <w:pPr>
              <w:widowControl w:val="0"/>
              <w:spacing w:before="0" w:line="240" w:lineRule="auto"/>
              <w:ind w:firstLine="0" w:left="0"/>
              <w:jc w:val="center"/>
            </w:pPr>
            <w:r>
              <w:t>(гр.3 х гр.4) х 0,01</w:t>
            </w:r>
          </w:p>
        </w:tc>
      </w:tr>
      <w:tr>
        <w:tc>
          <w:tcPr>
            <w:tcW w:type="dxa" w:w="558"/>
            <w:tcBorders>
              <w:top w:color="000000" w:sz="4" w:val="single"/>
              <w:left w:color="000000" w:sz="4" w:val="single"/>
              <w:bottom w:color="000000" w:sz="4" w:val="single"/>
              <w:right w:color="000000" w:sz="4" w:val="single"/>
            </w:tcBorders>
            <w:tcMar>
              <w:top w:type="dxa" w:w="0"/>
              <w:left w:type="dxa" w:w="0"/>
              <w:bottom w:type="dxa" w:w="0"/>
              <w:right w:type="dxa" w:w="0"/>
            </w:tcMar>
          </w:tcPr>
          <w:p w14:paraId="98010000">
            <w:pPr>
              <w:widowControl w:val="0"/>
              <w:spacing w:before="0" w:line="240" w:lineRule="auto"/>
              <w:ind w:firstLine="0" w:left="0"/>
              <w:jc w:val="center"/>
            </w:pPr>
            <w:r>
              <w:t>1</w:t>
            </w:r>
          </w:p>
        </w:tc>
        <w:tc>
          <w:tcPr>
            <w:tcW w:type="dxa" w:w="2065"/>
            <w:tcBorders>
              <w:top w:color="000000" w:sz="4" w:val="single"/>
              <w:left w:color="000000" w:sz="4" w:val="single"/>
              <w:bottom w:color="000000" w:sz="4" w:val="single"/>
              <w:right w:color="000000" w:sz="4" w:val="single"/>
            </w:tcBorders>
            <w:tcMar>
              <w:top w:type="dxa" w:w="0"/>
              <w:left w:type="dxa" w:w="0"/>
              <w:bottom w:type="dxa" w:w="0"/>
              <w:right w:type="dxa" w:w="0"/>
            </w:tcMar>
          </w:tcPr>
          <w:p w14:paraId="99010000">
            <w:pPr>
              <w:widowControl w:val="0"/>
              <w:spacing w:before="0" w:line="240" w:lineRule="auto"/>
              <w:ind w:firstLine="0" w:left="0"/>
              <w:jc w:val="center"/>
            </w:pPr>
            <w:r>
              <w:t>2</w:t>
            </w:r>
          </w:p>
        </w:tc>
        <w:tc>
          <w:tcPr>
            <w:tcW w:type="dxa" w:w="1451"/>
            <w:tcBorders>
              <w:top w:color="000000" w:sz="4" w:val="single"/>
              <w:left w:color="000000" w:sz="4" w:val="single"/>
              <w:bottom w:color="000000" w:sz="4" w:val="single"/>
              <w:right w:color="000000" w:sz="4" w:val="single"/>
            </w:tcBorders>
            <w:tcMar>
              <w:top w:type="dxa" w:w="0"/>
              <w:left w:type="dxa" w:w="0"/>
              <w:bottom w:type="dxa" w:w="0"/>
              <w:right w:type="dxa" w:w="0"/>
            </w:tcMar>
          </w:tcPr>
          <w:p w14:paraId="9A010000">
            <w:pPr>
              <w:widowControl w:val="0"/>
              <w:spacing w:before="0" w:line="240" w:lineRule="auto"/>
              <w:ind w:firstLine="0" w:left="0"/>
              <w:jc w:val="center"/>
            </w:pPr>
            <w:r>
              <w:t>3</w:t>
            </w:r>
          </w:p>
        </w:tc>
        <w:tc>
          <w:tcPr>
            <w:tcW w:type="dxa" w:w="1284"/>
            <w:tcBorders>
              <w:top w:color="000000" w:sz="4" w:val="single"/>
              <w:left w:color="000000" w:sz="4" w:val="single"/>
              <w:bottom w:color="000000" w:sz="4" w:val="single"/>
              <w:right w:color="000000" w:sz="4" w:val="single"/>
            </w:tcBorders>
            <w:tcMar>
              <w:top w:type="dxa" w:w="0"/>
              <w:left w:type="dxa" w:w="0"/>
              <w:bottom w:type="dxa" w:w="0"/>
              <w:right w:type="dxa" w:w="0"/>
            </w:tcMar>
          </w:tcPr>
          <w:p w14:paraId="9B010000">
            <w:pPr>
              <w:widowControl w:val="0"/>
              <w:spacing w:before="0" w:line="240" w:lineRule="auto"/>
              <w:ind w:firstLine="0" w:left="0"/>
              <w:jc w:val="center"/>
            </w:pPr>
            <w:r>
              <w:t>4</w:t>
            </w:r>
          </w:p>
        </w:tc>
        <w:tc>
          <w:tcPr>
            <w:tcW w:type="dxa" w:w="1116"/>
            <w:tcBorders>
              <w:top w:color="000000" w:sz="4" w:val="single"/>
              <w:left w:color="000000" w:sz="4" w:val="single"/>
              <w:bottom w:color="000000" w:sz="4" w:val="single"/>
              <w:right w:color="000000" w:sz="4" w:val="single"/>
            </w:tcBorders>
            <w:tcMar>
              <w:top w:type="dxa" w:w="0"/>
              <w:left w:type="dxa" w:w="0"/>
              <w:bottom w:type="dxa" w:w="0"/>
              <w:right w:type="dxa" w:w="0"/>
            </w:tcMar>
          </w:tcPr>
          <w:p w14:paraId="9C010000">
            <w:pPr>
              <w:widowControl w:val="0"/>
              <w:spacing w:before="0" w:line="240" w:lineRule="auto"/>
              <w:ind w:firstLine="0" w:left="0"/>
              <w:jc w:val="center"/>
            </w:pPr>
            <w:r>
              <w:t>5</w:t>
            </w:r>
          </w:p>
        </w:tc>
        <w:tc>
          <w:tcPr>
            <w:tcW w:type="dxa" w:w="2455"/>
            <w:tcBorders>
              <w:top w:color="000000" w:sz="4" w:val="single"/>
              <w:left w:color="000000" w:sz="4" w:val="single"/>
              <w:bottom w:color="000000" w:sz="4" w:val="single"/>
              <w:right w:color="000000" w:sz="4" w:val="single"/>
            </w:tcBorders>
            <w:tcMar>
              <w:top w:type="dxa" w:w="0"/>
              <w:left w:type="dxa" w:w="0"/>
              <w:bottom w:type="dxa" w:w="0"/>
              <w:right w:type="dxa" w:w="0"/>
            </w:tcMar>
          </w:tcPr>
          <w:p w14:paraId="9D010000">
            <w:pPr>
              <w:widowControl w:val="0"/>
              <w:spacing w:before="0" w:line="240" w:lineRule="auto"/>
              <w:ind w:firstLine="0" w:left="0"/>
              <w:jc w:val="center"/>
            </w:pPr>
            <w:r>
              <w:t>6</w:t>
            </w:r>
          </w:p>
        </w:tc>
      </w:tr>
      <w:tr>
        <w:tc>
          <w:tcPr>
            <w:tcW w:type="dxa" w:w="558"/>
            <w:tcBorders>
              <w:top w:color="000000" w:sz="4" w:val="single"/>
              <w:left w:color="000000" w:sz="4" w:val="single"/>
              <w:bottom w:color="000000" w:sz="4" w:val="single"/>
              <w:right w:color="000000" w:sz="4" w:val="single"/>
            </w:tcBorders>
            <w:tcMar>
              <w:top w:type="dxa" w:w="0"/>
              <w:left w:type="dxa" w:w="0"/>
              <w:bottom w:type="dxa" w:w="0"/>
              <w:right w:type="dxa" w:w="0"/>
            </w:tcMar>
          </w:tcPr>
          <w:p w14:paraId="9E010000">
            <w:pPr>
              <w:widowControl w:val="0"/>
              <w:spacing w:before="0" w:line="240" w:lineRule="auto"/>
              <w:ind w:firstLine="0" w:left="0"/>
              <w:jc w:val="center"/>
            </w:pPr>
            <w:r>
              <w:t>1</w:t>
            </w:r>
          </w:p>
        </w:tc>
        <w:tc>
          <w:tcPr>
            <w:tcW w:type="dxa" w:w="2065"/>
            <w:tcBorders>
              <w:top w:color="000000" w:sz="4" w:val="single"/>
              <w:left w:color="000000" w:sz="4" w:val="single"/>
              <w:bottom w:color="000000" w:sz="4" w:val="single"/>
              <w:right w:color="000000" w:sz="4" w:val="single"/>
            </w:tcBorders>
            <w:tcMar>
              <w:top w:type="dxa" w:w="0"/>
              <w:left w:type="dxa" w:w="0"/>
              <w:bottom w:type="dxa" w:w="0"/>
              <w:right w:type="dxa" w:w="0"/>
            </w:tcMar>
          </w:tcPr>
          <w:p w14:paraId="9F010000">
            <w:pPr>
              <w:widowControl w:val="0"/>
              <w:spacing w:before="0" w:line="240" w:lineRule="auto"/>
              <w:ind w:firstLine="0" w:left="0"/>
              <w:jc w:val="left"/>
            </w:pPr>
            <w:r>
              <w:t>Объем фактически понесенных затрат на объекты обеспечивающей инфраструктуры</w:t>
            </w:r>
          </w:p>
          <w:p w14:paraId="A0010000">
            <w:pPr>
              <w:widowControl w:val="0"/>
              <w:spacing w:before="0" w:line="240" w:lineRule="auto"/>
              <w:ind w:firstLine="0" w:left="0"/>
              <w:jc w:val="left"/>
            </w:pPr>
            <w:r>
              <w:t>(C</w:t>
            </w:r>
            <w:r>
              <w:rPr>
                <w:vertAlign w:val="subscript"/>
              </w:rPr>
              <w:t>инф обесп</w:t>
            </w:r>
            <w:r>
              <w:t>)</w:t>
            </w:r>
          </w:p>
        </w:tc>
        <w:tc>
          <w:tcPr>
            <w:tcW w:type="dxa" w:w="1451"/>
            <w:tcBorders>
              <w:top w:color="000000" w:sz="4" w:val="single"/>
              <w:left w:color="000000" w:sz="4" w:val="single"/>
              <w:bottom w:color="000000" w:sz="4" w:val="single"/>
              <w:right w:color="000000" w:sz="4" w:val="single"/>
            </w:tcBorders>
            <w:tcMar>
              <w:top w:type="dxa" w:w="0"/>
              <w:left w:type="dxa" w:w="0"/>
              <w:bottom w:type="dxa" w:w="0"/>
              <w:right w:type="dxa" w:w="0"/>
            </w:tcMar>
          </w:tcPr>
          <w:p w14:paraId="A1010000">
            <w:pPr>
              <w:widowControl w:val="0"/>
              <w:spacing w:before="0" w:line="240" w:lineRule="auto"/>
              <w:ind w:firstLine="0" w:left="0"/>
              <w:jc w:val="left"/>
            </w:pPr>
          </w:p>
        </w:tc>
        <w:tc>
          <w:tcPr>
            <w:tcW w:type="dxa" w:w="1284"/>
            <w:tcBorders>
              <w:top w:color="000000" w:sz="4" w:val="single"/>
              <w:left w:color="000000" w:sz="4" w:val="single"/>
              <w:bottom w:color="000000" w:sz="4" w:val="single"/>
              <w:right w:color="000000" w:sz="4" w:val="single"/>
            </w:tcBorders>
            <w:tcMar>
              <w:top w:type="dxa" w:w="0"/>
              <w:left w:type="dxa" w:w="0"/>
              <w:bottom w:type="dxa" w:w="0"/>
              <w:right w:type="dxa" w:w="0"/>
            </w:tcMar>
          </w:tcPr>
          <w:p w14:paraId="A2010000">
            <w:pPr>
              <w:widowControl w:val="0"/>
              <w:spacing w:before="0" w:line="240" w:lineRule="auto"/>
              <w:ind w:firstLine="0" w:left="0"/>
              <w:jc w:val="center"/>
            </w:pPr>
            <w:r>
              <w:t>50</w:t>
            </w:r>
          </w:p>
        </w:tc>
        <w:tc>
          <w:tcPr>
            <w:tcW w:type="dxa" w:w="1116"/>
            <w:tcBorders>
              <w:top w:color="000000" w:sz="4" w:val="single"/>
              <w:left w:color="000000" w:sz="4" w:val="single"/>
              <w:bottom w:color="000000" w:sz="4" w:val="single"/>
              <w:right w:color="000000" w:sz="4" w:val="single"/>
            </w:tcBorders>
            <w:tcMar>
              <w:top w:type="dxa" w:w="0"/>
              <w:left w:type="dxa" w:w="0"/>
              <w:bottom w:type="dxa" w:w="0"/>
              <w:right w:type="dxa" w:w="0"/>
            </w:tcMar>
          </w:tcPr>
          <w:p w14:paraId="A3010000">
            <w:pPr>
              <w:widowControl w:val="0"/>
              <w:spacing w:before="0" w:line="240" w:lineRule="auto"/>
              <w:ind w:firstLine="0" w:left="0"/>
              <w:jc w:val="left"/>
            </w:pPr>
          </w:p>
        </w:tc>
        <w:tc>
          <w:tcPr>
            <w:tcW w:type="dxa" w:w="2455"/>
            <w:tcBorders>
              <w:top w:color="000000" w:sz="4" w:val="single"/>
              <w:left w:color="000000" w:sz="4" w:val="single"/>
              <w:bottom w:color="000000" w:sz="4" w:val="single"/>
              <w:right w:color="000000" w:sz="4" w:val="single"/>
            </w:tcBorders>
            <w:tcMar>
              <w:top w:type="dxa" w:w="0"/>
              <w:left w:type="dxa" w:w="0"/>
              <w:bottom w:type="dxa" w:w="0"/>
              <w:right w:type="dxa" w:w="0"/>
            </w:tcMar>
          </w:tcPr>
          <w:p w14:paraId="A4010000">
            <w:pPr>
              <w:widowControl w:val="0"/>
              <w:spacing w:before="0" w:line="240" w:lineRule="auto"/>
              <w:ind w:firstLine="0" w:left="0"/>
              <w:jc w:val="left"/>
            </w:pPr>
          </w:p>
        </w:tc>
      </w:tr>
      <w:tr>
        <w:tc>
          <w:tcPr>
            <w:tcW w:type="dxa" w:w="558"/>
            <w:tcBorders>
              <w:top w:color="000000" w:sz="4" w:val="single"/>
              <w:left w:color="000000" w:sz="4" w:val="single"/>
              <w:bottom w:color="000000" w:sz="4" w:val="single"/>
              <w:right w:color="000000" w:sz="4" w:val="single"/>
            </w:tcBorders>
            <w:tcMar>
              <w:top w:type="dxa" w:w="0"/>
              <w:left w:type="dxa" w:w="0"/>
              <w:bottom w:type="dxa" w:w="0"/>
              <w:right w:type="dxa" w:w="0"/>
            </w:tcMar>
          </w:tcPr>
          <w:p w14:paraId="A5010000">
            <w:pPr>
              <w:widowControl w:val="0"/>
              <w:spacing w:before="0" w:line="240" w:lineRule="auto"/>
              <w:ind w:firstLine="0" w:left="0"/>
              <w:jc w:val="center"/>
            </w:pPr>
            <w:r>
              <w:t>2</w:t>
            </w:r>
          </w:p>
        </w:tc>
        <w:tc>
          <w:tcPr>
            <w:tcW w:type="dxa" w:w="2065"/>
            <w:tcBorders>
              <w:top w:color="000000" w:sz="4" w:val="single"/>
              <w:left w:color="000000" w:sz="4" w:val="single"/>
              <w:bottom w:color="000000" w:sz="4" w:val="single"/>
              <w:right w:color="000000" w:sz="4" w:val="single"/>
            </w:tcBorders>
            <w:tcMar>
              <w:top w:type="dxa" w:w="0"/>
              <w:left w:type="dxa" w:w="0"/>
              <w:bottom w:type="dxa" w:w="0"/>
              <w:right w:type="dxa" w:w="0"/>
            </w:tcMar>
            <w:vAlign w:val="center"/>
          </w:tcPr>
          <w:p w14:paraId="A6010000">
            <w:pPr>
              <w:widowControl w:val="0"/>
              <w:spacing w:before="0" w:line="240" w:lineRule="auto"/>
              <w:ind w:firstLine="0" w:left="0"/>
              <w:jc w:val="left"/>
            </w:pPr>
            <w:r>
              <w:t>Объем фактически понесенных затрат на объекты сопутствующей инфраструктуры</w:t>
            </w:r>
          </w:p>
          <w:p w14:paraId="A7010000">
            <w:pPr>
              <w:widowControl w:val="0"/>
              <w:spacing w:before="0" w:line="240" w:lineRule="auto"/>
              <w:ind w:firstLine="0" w:left="0"/>
              <w:jc w:val="left"/>
            </w:pPr>
            <w:r>
              <w:t>(C</w:t>
            </w:r>
            <w:r>
              <w:rPr>
                <w:vertAlign w:val="subscript"/>
              </w:rPr>
              <w:t>инф соп</w:t>
            </w:r>
            <w:r>
              <w:t>)</w:t>
            </w:r>
          </w:p>
        </w:tc>
        <w:tc>
          <w:tcPr>
            <w:tcW w:type="dxa" w:w="1451"/>
            <w:tcBorders>
              <w:top w:color="000000" w:sz="4" w:val="single"/>
              <w:left w:color="000000" w:sz="4" w:val="single"/>
              <w:bottom w:color="000000" w:sz="4" w:val="single"/>
              <w:right w:color="000000" w:sz="4" w:val="single"/>
            </w:tcBorders>
            <w:tcMar>
              <w:top w:type="dxa" w:w="0"/>
              <w:left w:type="dxa" w:w="0"/>
              <w:bottom w:type="dxa" w:w="0"/>
              <w:right w:type="dxa" w:w="0"/>
            </w:tcMar>
          </w:tcPr>
          <w:p w14:paraId="A8010000">
            <w:pPr>
              <w:widowControl w:val="0"/>
              <w:spacing w:before="0" w:line="240" w:lineRule="auto"/>
              <w:ind w:firstLine="0" w:left="0"/>
              <w:jc w:val="left"/>
            </w:pPr>
          </w:p>
        </w:tc>
        <w:tc>
          <w:tcPr>
            <w:tcW w:type="dxa" w:w="1284"/>
            <w:tcBorders>
              <w:top w:color="000000" w:sz="4" w:val="single"/>
              <w:left w:color="000000" w:sz="4" w:val="single"/>
              <w:bottom w:color="000000" w:sz="4" w:val="single"/>
              <w:right w:color="000000" w:sz="4" w:val="single"/>
            </w:tcBorders>
            <w:tcMar>
              <w:top w:type="dxa" w:w="0"/>
              <w:left w:type="dxa" w:w="0"/>
              <w:bottom w:type="dxa" w:w="0"/>
              <w:right w:type="dxa" w:w="0"/>
            </w:tcMar>
          </w:tcPr>
          <w:p w14:paraId="A9010000">
            <w:pPr>
              <w:widowControl w:val="0"/>
              <w:spacing w:before="0" w:line="240" w:lineRule="auto"/>
              <w:ind w:firstLine="0" w:left="0"/>
              <w:jc w:val="center"/>
            </w:pPr>
            <w:r>
              <w:t>100</w:t>
            </w:r>
          </w:p>
        </w:tc>
        <w:tc>
          <w:tcPr>
            <w:tcW w:type="dxa" w:w="1116"/>
            <w:tcBorders>
              <w:top w:color="000000" w:sz="4" w:val="single"/>
              <w:left w:color="000000" w:sz="4" w:val="single"/>
              <w:bottom w:color="000000" w:sz="4" w:val="single"/>
              <w:right w:color="000000" w:sz="4" w:val="single"/>
            </w:tcBorders>
            <w:tcMar>
              <w:top w:type="dxa" w:w="0"/>
              <w:left w:type="dxa" w:w="0"/>
              <w:bottom w:type="dxa" w:w="0"/>
              <w:right w:type="dxa" w:w="0"/>
            </w:tcMar>
          </w:tcPr>
          <w:p w14:paraId="AA010000">
            <w:pPr>
              <w:widowControl w:val="0"/>
              <w:spacing w:before="0" w:line="240" w:lineRule="auto"/>
              <w:ind w:firstLine="0" w:left="0"/>
              <w:jc w:val="left"/>
            </w:pPr>
          </w:p>
        </w:tc>
        <w:tc>
          <w:tcPr>
            <w:tcW w:type="dxa" w:w="2455"/>
            <w:tcBorders>
              <w:top w:color="000000" w:sz="4" w:val="single"/>
              <w:left w:color="000000" w:sz="4" w:val="single"/>
              <w:bottom w:color="000000" w:sz="4" w:val="single"/>
              <w:right w:color="000000" w:sz="4" w:val="single"/>
            </w:tcBorders>
            <w:tcMar>
              <w:top w:type="dxa" w:w="0"/>
              <w:left w:type="dxa" w:w="0"/>
              <w:bottom w:type="dxa" w:w="0"/>
              <w:right w:type="dxa" w:w="0"/>
            </w:tcMar>
          </w:tcPr>
          <w:p w14:paraId="AB010000">
            <w:pPr>
              <w:widowControl w:val="0"/>
              <w:spacing w:before="0" w:line="240" w:lineRule="auto"/>
              <w:ind w:firstLine="0" w:left="0"/>
              <w:jc w:val="left"/>
            </w:pPr>
          </w:p>
        </w:tc>
      </w:tr>
      <w:tr>
        <w:tc>
          <w:tcPr>
            <w:tcW w:type="dxa" w:w="558"/>
            <w:tcBorders>
              <w:top w:color="000000" w:sz="4" w:val="single"/>
              <w:left w:color="000000" w:sz="4" w:val="single"/>
              <w:bottom w:color="000000" w:sz="4" w:val="single"/>
              <w:right w:color="000000" w:sz="4" w:val="single"/>
            </w:tcBorders>
            <w:tcMar>
              <w:top w:type="dxa" w:w="0"/>
              <w:left w:type="dxa" w:w="0"/>
              <w:bottom w:type="dxa" w:w="0"/>
              <w:right w:type="dxa" w:w="0"/>
            </w:tcMar>
          </w:tcPr>
          <w:p w14:paraId="AC010000">
            <w:pPr>
              <w:widowControl w:val="0"/>
              <w:spacing w:before="0" w:line="240" w:lineRule="auto"/>
              <w:ind w:firstLine="0" w:left="0"/>
              <w:jc w:val="center"/>
            </w:pPr>
            <w:r>
              <w:t>3</w:t>
            </w:r>
          </w:p>
        </w:tc>
        <w:tc>
          <w:tcPr>
            <w:tcW w:type="dxa" w:w="2065"/>
            <w:tcBorders>
              <w:top w:color="000000" w:sz="4" w:val="single"/>
              <w:left w:color="000000" w:sz="4" w:val="single"/>
              <w:bottom w:color="000000" w:sz="4" w:val="single"/>
              <w:right w:color="000000" w:sz="4" w:val="single"/>
            </w:tcBorders>
            <w:tcMar>
              <w:top w:type="dxa" w:w="0"/>
              <w:left w:type="dxa" w:w="0"/>
              <w:bottom w:type="dxa" w:w="0"/>
              <w:right w:type="dxa" w:w="0"/>
            </w:tcMar>
          </w:tcPr>
          <w:p w14:paraId="AD010000">
            <w:pPr>
              <w:widowControl w:val="0"/>
              <w:spacing w:before="0" w:line="240" w:lineRule="auto"/>
              <w:ind w:firstLine="0" w:left="0"/>
              <w:jc w:val="left"/>
            </w:pPr>
            <w:r>
              <w:t>Объем фактически понесенных затрат на уплату процентов на инвестиционной стадии (C</w:t>
            </w:r>
            <w:r>
              <w:rPr>
                <w:vertAlign w:val="subscript"/>
              </w:rPr>
              <w:t>ис</w:t>
            </w:r>
            <w:r>
              <w:t>)</w:t>
            </w:r>
          </w:p>
        </w:tc>
        <w:tc>
          <w:tcPr>
            <w:tcW w:type="dxa" w:w="1451"/>
            <w:tcBorders>
              <w:top w:color="000000" w:sz="4" w:val="single"/>
              <w:left w:color="000000" w:sz="4" w:val="single"/>
              <w:bottom w:color="000000" w:sz="4" w:val="single"/>
              <w:right w:color="000000" w:sz="4" w:val="single"/>
            </w:tcBorders>
            <w:tcMar>
              <w:top w:type="dxa" w:w="0"/>
              <w:left w:type="dxa" w:w="0"/>
              <w:bottom w:type="dxa" w:w="0"/>
              <w:right w:type="dxa" w:w="0"/>
            </w:tcMar>
          </w:tcPr>
          <w:p w14:paraId="AE010000">
            <w:pPr>
              <w:widowControl w:val="0"/>
              <w:spacing w:before="0" w:line="240" w:lineRule="auto"/>
              <w:ind w:firstLine="0" w:left="0"/>
              <w:jc w:val="left"/>
            </w:pPr>
          </w:p>
        </w:tc>
        <w:tc>
          <w:tcPr>
            <w:tcW w:type="dxa" w:w="1284"/>
            <w:tcBorders>
              <w:top w:color="000000" w:sz="4" w:val="single"/>
              <w:left w:color="000000" w:sz="4" w:val="single"/>
              <w:bottom w:color="000000" w:sz="4" w:val="single"/>
              <w:right w:color="000000" w:sz="4" w:val="single"/>
            </w:tcBorders>
            <w:tcMar>
              <w:top w:type="dxa" w:w="0"/>
              <w:left w:type="dxa" w:w="0"/>
              <w:bottom w:type="dxa" w:w="0"/>
              <w:right w:type="dxa" w:w="0"/>
            </w:tcMar>
          </w:tcPr>
          <w:p w14:paraId="AF010000">
            <w:pPr>
              <w:widowControl w:val="0"/>
              <w:spacing w:before="0" w:line="240" w:lineRule="auto"/>
              <w:ind w:firstLine="0" w:left="0"/>
              <w:jc w:val="center"/>
            </w:pPr>
            <w:r>
              <w:t>50</w:t>
            </w:r>
          </w:p>
        </w:tc>
        <w:tc>
          <w:tcPr>
            <w:tcW w:type="dxa" w:w="1116"/>
            <w:tcBorders>
              <w:top w:color="000000" w:sz="4" w:val="single"/>
              <w:left w:color="000000" w:sz="4" w:val="single"/>
              <w:bottom w:color="000000" w:sz="4" w:val="single"/>
              <w:right w:color="000000" w:sz="4" w:val="single"/>
            </w:tcBorders>
            <w:tcMar>
              <w:top w:type="dxa" w:w="0"/>
              <w:left w:type="dxa" w:w="0"/>
              <w:bottom w:type="dxa" w:w="0"/>
              <w:right w:type="dxa" w:w="0"/>
            </w:tcMar>
          </w:tcPr>
          <w:p w14:paraId="B0010000">
            <w:pPr>
              <w:widowControl w:val="0"/>
              <w:spacing w:before="0" w:line="240" w:lineRule="auto"/>
              <w:ind w:firstLine="0" w:left="0"/>
              <w:jc w:val="left"/>
            </w:pPr>
          </w:p>
        </w:tc>
        <w:tc>
          <w:tcPr>
            <w:tcW w:type="dxa" w:w="2455"/>
            <w:tcBorders>
              <w:top w:color="000000" w:sz="4" w:val="single"/>
              <w:left w:color="000000" w:sz="4" w:val="single"/>
              <w:bottom w:color="000000" w:sz="4" w:val="single"/>
              <w:right w:color="000000" w:sz="4" w:val="single"/>
            </w:tcBorders>
            <w:tcMar>
              <w:top w:type="dxa" w:w="0"/>
              <w:left w:type="dxa" w:w="0"/>
              <w:bottom w:type="dxa" w:w="0"/>
              <w:right w:type="dxa" w:w="0"/>
            </w:tcMar>
          </w:tcPr>
          <w:p w14:paraId="B1010000">
            <w:pPr>
              <w:widowControl w:val="0"/>
              <w:spacing w:before="0" w:line="240" w:lineRule="auto"/>
              <w:ind w:firstLine="0" w:left="0"/>
              <w:jc w:val="left"/>
            </w:pPr>
          </w:p>
        </w:tc>
      </w:tr>
      <w:tr>
        <w:tc>
          <w:tcPr>
            <w:tcW w:type="dxa" w:w="558"/>
            <w:tcBorders>
              <w:top w:color="000000" w:sz="4" w:val="single"/>
              <w:left w:color="000000" w:sz="4" w:val="single"/>
              <w:bottom w:color="000000" w:sz="4" w:val="single"/>
              <w:right w:color="000000" w:sz="4" w:val="single"/>
            </w:tcBorders>
            <w:tcMar>
              <w:top w:type="dxa" w:w="0"/>
              <w:left w:type="dxa" w:w="0"/>
              <w:bottom w:type="dxa" w:w="0"/>
              <w:right w:type="dxa" w:w="0"/>
            </w:tcMar>
          </w:tcPr>
          <w:p w14:paraId="B2010000">
            <w:pPr>
              <w:widowControl w:val="0"/>
              <w:spacing w:before="0" w:line="240" w:lineRule="auto"/>
              <w:ind w:firstLine="0" w:left="0"/>
              <w:jc w:val="center"/>
            </w:pPr>
            <w:r>
              <w:t>4</w:t>
            </w:r>
          </w:p>
        </w:tc>
        <w:tc>
          <w:tcPr>
            <w:tcW w:type="dxa" w:w="2065"/>
            <w:tcBorders>
              <w:top w:color="000000" w:sz="4" w:val="single"/>
              <w:left w:color="000000" w:sz="4" w:val="single"/>
              <w:bottom w:color="000000" w:sz="4" w:val="single"/>
              <w:right w:color="000000" w:sz="4" w:val="single"/>
            </w:tcBorders>
            <w:tcMar>
              <w:top w:type="dxa" w:w="0"/>
              <w:left w:type="dxa" w:w="0"/>
              <w:bottom w:type="dxa" w:w="0"/>
              <w:right w:type="dxa" w:w="0"/>
            </w:tcMar>
            <w:vAlign w:val="center"/>
          </w:tcPr>
          <w:p w14:paraId="B3010000">
            <w:pPr>
              <w:widowControl w:val="0"/>
              <w:spacing w:before="0" w:line="240" w:lineRule="auto"/>
              <w:ind w:firstLine="0" w:left="0"/>
              <w:jc w:val="left"/>
            </w:pPr>
            <w:r>
              <w:t>Объем фактически понесенных затрат на демонтаж (C</w:t>
            </w:r>
            <w:r>
              <w:rPr>
                <w:vertAlign w:val="subscript"/>
              </w:rPr>
              <w:t>дем</w:t>
            </w:r>
            <w:r>
              <w:t>)</w:t>
            </w:r>
          </w:p>
        </w:tc>
        <w:tc>
          <w:tcPr>
            <w:tcW w:type="dxa" w:w="1451"/>
            <w:tcBorders>
              <w:top w:color="000000" w:sz="4" w:val="single"/>
              <w:left w:color="000000" w:sz="4" w:val="single"/>
              <w:bottom w:color="000000" w:sz="4" w:val="single"/>
              <w:right w:color="000000" w:sz="4" w:val="single"/>
            </w:tcBorders>
            <w:tcMar>
              <w:top w:type="dxa" w:w="0"/>
              <w:left w:type="dxa" w:w="0"/>
              <w:bottom w:type="dxa" w:w="0"/>
              <w:right w:type="dxa" w:w="0"/>
            </w:tcMar>
          </w:tcPr>
          <w:p w14:paraId="B4010000">
            <w:pPr>
              <w:widowControl w:val="0"/>
              <w:spacing w:before="0" w:line="240" w:lineRule="auto"/>
              <w:ind w:firstLine="0" w:left="0"/>
              <w:jc w:val="left"/>
            </w:pPr>
          </w:p>
        </w:tc>
        <w:tc>
          <w:tcPr>
            <w:tcW w:type="dxa" w:w="1284"/>
            <w:tcBorders>
              <w:top w:color="000000" w:sz="4" w:val="single"/>
              <w:left w:color="000000" w:sz="4" w:val="single"/>
              <w:bottom w:color="000000" w:sz="4" w:val="single"/>
              <w:right w:color="000000" w:sz="4" w:val="single"/>
            </w:tcBorders>
            <w:tcMar>
              <w:top w:type="dxa" w:w="0"/>
              <w:left w:type="dxa" w:w="0"/>
              <w:bottom w:type="dxa" w:w="0"/>
              <w:right w:type="dxa" w:w="0"/>
            </w:tcMar>
          </w:tcPr>
          <w:p w14:paraId="B5010000">
            <w:pPr>
              <w:widowControl w:val="0"/>
              <w:spacing w:before="0" w:line="240" w:lineRule="auto"/>
              <w:ind w:firstLine="0" w:left="0"/>
              <w:jc w:val="center"/>
            </w:pPr>
            <w:r>
              <w:t>100</w:t>
            </w:r>
          </w:p>
        </w:tc>
        <w:tc>
          <w:tcPr>
            <w:tcW w:type="dxa" w:w="1116"/>
            <w:tcBorders>
              <w:top w:color="000000" w:sz="4" w:val="single"/>
              <w:left w:color="000000" w:sz="4" w:val="single"/>
              <w:bottom w:color="000000" w:sz="4" w:val="single"/>
              <w:right w:color="000000" w:sz="4" w:val="single"/>
            </w:tcBorders>
            <w:tcMar>
              <w:top w:type="dxa" w:w="0"/>
              <w:left w:type="dxa" w:w="0"/>
              <w:bottom w:type="dxa" w:w="0"/>
              <w:right w:type="dxa" w:w="0"/>
            </w:tcMar>
          </w:tcPr>
          <w:p w14:paraId="B6010000">
            <w:pPr>
              <w:widowControl w:val="0"/>
              <w:spacing w:before="0" w:line="240" w:lineRule="auto"/>
              <w:ind w:firstLine="0" w:left="0"/>
              <w:jc w:val="left"/>
            </w:pPr>
          </w:p>
        </w:tc>
        <w:tc>
          <w:tcPr>
            <w:tcW w:type="dxa" w:w="2455"/>
            <w:tcBorders>
              <w:top w:color="000000" w:sz="4" w:val="single"/>
              <w:left w:color="000000" w:sz="4" w:val="single"/>
              <w:bottom w:color="000000" w:sz="4" w:val="single"/>
              <w:right w:color="000000" w:sz="4" w:val="single"/>
            </w:tcBorders>
            <w:tcMar>
              <w:top w:type="dxa" w:w="0"/>
              <w:left w:type="dxa" w:w="0"/>
              <w:bottom w:type="dxa" w:w="0"/>
              <w:right w:type="dxa" w:w="0"/>
            </w:tcMar>
          </w:tcPr>
          <w:p w14:paraId="B7010000">
            <w:pPr>
              <w:widowControl w:val="0"/>
              <w:spacing w:before="0" w:line="240" w:lineRule="auto"/>
              <w:ind w:firstLine="0" w:left="0"/>
              <w:jc w:val="left"/>
            </w:pPr>
          </w:p>
        </w:tc>
      </w:tr>
      <w:tr>
        <w:tc>
          <w:tcPr>
            <w:tcW w:type="dxa" w:w="558"/>
            <w:tcBorders>
              <w:top w:color="000000" w:sz="4" w:val="single"/>
              <w:left w:color="000000" w:sz="4" w:val="single"/>
              <w:bottom w:color="000000" w:sz="4" w:val="single"/>
              <w:right w:color="000000" w:sz="4" w:val="single"/>
            </w:tcBorders>
            <w:tcMar>
              <w:top w:type="dxa" w:w="0"/>
              <w:left w:type="dxa" w:w="0"/>
              <w:bottom w:type="dxa" w:w="0"/>
              <w:right w:type="dxa" w:w="0"/>
            </w:tcMar>
          </w:tcPr>
          <w:p w14:paraId="B8010000">
            <w:pPr>
              <w:widowControl w:val="0"/>
              <w:spacing w:before="0" w:line="240" w:lineRule="auto"/>
              <w:ind w:firstLine="0" w:left="0"/>
              <w:jc w:val="left"/>
            </w:pPr>
          </w:p>
        </w:tc>
        <w:tc>
          <w:tcPr>
            <w:tcW w:type="dxa" w:w="5916"/>
            <w:gridSpan w:val="4"/>
            <w:tcBorders>
              <w:top w:color="000000" w:sz="4" w:val="single"/>
              <w:left w:color="000000" w:sz="4" w:val="single"/>
              <w:bottom w:color="000000" w:sz="4" w:val="single"/>
              <w:right w:color="000000" w:sz="4" w:val="single"/>
            </w:tcBorders>
            <w:tcMar>
              <w:top w:type="dxa" w:w="0"/>
              <w:left w:type="dxa" w:w="0"/>
              <w:bottom w:type="dxa" w:w="0"/>
              <w:right w:type="dxa" w:w="0"/>
            </w:tcMar>
            <w:vAlign w:val="bottom"/>
          </w:tcPr>
          <w:p w14:paraId="B9010000">
            <w:pPr>
              <w:widowControl w:val="0"/>
              <w:spacing w:before="0" w:line="240" w:lineRule="auto"/>
              <w:ind w:firstLine="0" w:left="0"/>
              <w:jc w:val="left"/>
            </w:pPr>
            <w:r>
              <w:t>Итог расчета объема возмещаемых затрат (C</w:t>
            </w:r>
            <w:r>
              <w:rPr>
                <w:vertAlign w:val="subscript"/>
              </w:rPr>
              <w:t>х</w:t>
            </w:r>
            <w:r>
              <w:t>)</w:t>
            </w:r>
          </w:p>
        </w:tc>
        <w:tc>
          <w:tcPr>
            <w:tcW w:type="dxa" w:w="2455"/>
            <w:tcBorders>
              <w:top w:color="000000" w:sz="4" w:val="single"/>
              <w:left w:color="000000" w:sz="4" w:val="single"/>
              <w:bottom w:color="000000" w:sz="4" w:val="single"/>
              <w:right w:color="000000" w:sz="4" w:val="single"/>
            </w:tcBorders>
            <w:tcMar>
              <w:top w:type="dxa" w:w="0"/>
              <w:left w:type="dxa" w:w="0"/>
              <w:bottom w:type="dxa" w:w="0"/>
              <w:right w:type="dxa" w:w="0"/>
            </w:tcMar>
          </w:tcPr>
          <w:p w14:paraId="BA010000">
            <w:pPr>
              <w:widowControl w:val="0"/>
              <w:spacing w:before="0" w:line="240" w:lineRule="auto"/>
              <w:ind w:firstLine="0" w:left="0"/>
              <w:jc w:val="left"/>
            </w:pPr>
          </w:p>
        </w:tc>
      </w:tr>
    </w:tbl>
    <w:p w14:paraId="BB01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3627"/>
        <w:gridCol w:w="4185"/>
        <w:gridCol w:w="1116"/>
      </w:tblGrid>
      <w:tr>
        <w:tc>
          <w:tcPr>
            <w:tcW w:type="dxa" w:w="3627"/>
            <w:vMerge w:val="restart"/>
            <w:tcMar>
              <w:top w:type="dxa" w:w="0"/>
              <w:left w:type="dxa" w:w="0"/>
              <w:bottom w:type="dxa" w:w="0"/>
              <w:right w:type="dxa" w:w="0"/>
            </w:tcMar>
          </w:tcPr>
          <w:p w14:paraId="BC010000">
            <w:pPr>
              <w:widowControl w:val="0"/>
              <w:spacing w:before="0" w:line="240" w:lineRule="auto"/>
              <w:ind w:firstLine="283" w:left="0"/>
              <w:jc w:val="both"/>
            </w:pPr>
            <w:r>
              <w:t>5. Форма возмещения затрат</w:t>
            </w:r>
          </w:p>
        </w:tc>
        <w:tc>
          <w:tcPr>
            <w:tcW w:type="dxa" w:w="5301"/>
            <w:gridSpan w:val="2"/>
            <w:tcBorders>
              <w:bottom w:color="000000" w:sz="4" w:val="single"/>
            </w:tcBorders>
            <w:tcMar>
              <w:top w:type="dxa" w:w="0"/>
              <w:left w:type="dxa" w:w="0"/>
              <w:bottom w:type="dxa" w:w="0"/>
              <w:right w:type="dxa" w:w="0"/>
            </w:tcMar>
          </w:tcPr>
          <w:p w14:paraId="BD010000">
            <w:pPr>
              <w:widowControl w:val="0"/>
              <w:spacing w:before="0" w:line="240" w:lineRule="auto"/>
              <w:ind w:firstLine="0" w:left="0"/>
              <w:jc w:val="left"/>
            </w:pPr>
          </w:p>
        </w:tc>
      </w:tr>
      <w:tr>
        <w:tc>
          <w:tcPr>
            <w:tcW w:type="dxa" w:w="3627"/>
            <w:gridSpan w:val="1"/>
            <w:vMerge w:val="continue"/>
            <w:tcMar>
              <w:top w:type="dxa" w:w="0"/>
              <w:left w:type="dxa" w:w="0"/>
              <w:bottom w:type="dxa" w:w="0"/>
              <w:right w:type="dxa" w:w="0"/>
            </w:tcMar>
          </w:tcPr>
          <w:p/>
        </w:tc>
        <w:tc>
          <w:tcPr>
            <w:tcW w:type="dxa" w:w="5301"/>
            <w:gridSpan w:val="2"/>
            <w:tcBorders>
              <w:top w:color="000000" w:sz="4" w:val="single"/>
            </w:tcBorders>
            <w:tcMar>
              <w:top w:type="dxa" w:w="0"/>
              <w:left w:type="dxa" w:w="0"/>
              <w:bottom w:type="dxa" w:w="0"/>
              <w:right w:type="dxa" w:w="0"/>
            </w:tcMar>
            <w:vAlign w:val="center"/>
          </w:tcPr>
          <w:p w14:paraId="BE010000">
            <w:pPr>
              <w:widowControl w:val="0"/>
              <w:spacing w:before="0" w:line="240" w:lineRule="auto"/>
              <w:ind w:firstLine="0" w:left="0"/>
              <w:jc w:val="center"/>
            </w:pPr>
            <w:r>
              <w:t>(субсидия или налоговый вычет)</w:t>
            </w:r>
          </w:p>
        </w:tc>
      </w:tr>
      <w:tr>
        <w:tc>
          <w:tcPr>
            <w:tcW w:type="dxa" w:w="3627"/>
            <w:tcMar>
              <w:top w:type="dxa" w:w="0"/>
              <w:left w:type="dxa" w:w="0"/>
              <w:bottom w:type="dxa" w:w="0"/>
              <w:right w:type="dxa" w:w="0"/>
            </w:tcMar>
            <w:vAlign w:val="bottom"/>
          </w:tcPr>
          <w:p w14:paraId="BF010000">
            <w:pPr>
              <w:widowControl w:val="0"/>
              <w:spacing w:before="0" w:line="240" w:lineRule="auto"/>
              <w:ind w:firstLine="283" w:left="0"/>
              <w:jc w:val="both"/>
            </w:pPr>
            <w:r>
              <w:t>6. Объем возмещения затрат</w:t>
            </w:r>
          </w:p>
        </w:tc>
        <w:tc>
          <w:tcPr>
            <w:tcW w:type="dxa" w:w="4185"/>
            <w:tcBorders>
              <w:bottom w:color="000000" w:sz="4" w:val="single"/>
            </w:tcBorders>
            <w:tcMar>
              <w:top w:type="dxa" w:w="0"/>
              <w:left w:type="dxa" w:w="0"/>
              <w:bottom w:type="dxa" w:w="0"/>
              <w:right w:type="dxa" w:w="0"/>
            </w:tcMar>
          </w:tcPr>
          <w:p w14:paraId="C0010000">
            <w:pPr>
              <w:widowControl w:val="0"/>
              <w:spacing w:before="0" w:line="240" w:lineRule="auto"/>
              <w:ind w:firstLine="0" w:left="0"/>
              <w:jc w:val="left"/>
            </w:pPr>
          </w:p>
        </w:tc>
        <w:tc>
          <w:tcPr>
            <w:tcW w:type="dxa" w:w="1116"/>
            <w:tcMar>
              <w:top w:type="dxa" w:w="0"/>
              <w:left w:type="dxa" w:w="0"/>
              <w:bottom w:type="dxa" w:w="0"/>
              <w:right w:type="dxa" w:w="0"/>
            </w:tcMar>
            <w:vAlign w:val="bottom"/>
          </w:tcPr>
          <w:p w14:paraId="C1010000">
            <w:pPr>
              <w:widowControl w:val="0"/>
              <w:spacing w:before="0" w:line="240" w:lineRule="auto"/>
              <w:ind w:firstLine="0" w:left="0"/>
              <w:jc w:val="left"/>
            </w:pPr>
            <w:r>
              <w:t>(рублей),</w:t>
            </w:r>
          </w:p>
        </w:tc>
      </w:tr>
      <w:tr>
        <w:tc>
          <w:tcPr>
            <w:tcW w:type="dxa" w:w="3627"/>
            <w:tcMar>
              <w:top w:type="dxa" w:w="0"/>
              <w:left w:type="dxa" w:w="0"/>
              <w:bottom w:type="dxa" w:w="0"/>
              <w:right w:type="dxa" w:w="0"/>
            </w:tcMar>
          </w:tcPr>
          <w:p w14:paraId="C2010000">
            <w:pPr>
              <w:widowControl w:val="0"/>
              <w:spacing w:before="0" w:line="240" w:lineRule="auto"/>
              <w:ind w:firstLine="0" w:left="0"/>
              <w:jc w:val="left"/>
            </w:pPr>
          </w:p>
        </w:tc>
        <w:tc>
          <w:tcPr>
            <w:tcW w:type="dxa" w:w="4185"/>
            <w:tcBorders>
              <w:top w:color="000000" w:sz="4" w:val="single"/>
            </w:tcBorders>
            <w:tcMar>
              <w:top w:type="dxa" w:w="0"/>
              <w:left w:type="dxa" w:w="0"/>
              <w:bottom w:type="dxa" w:w="0"/>
              <w:right w:type="dxa" w:w="0"/>
            </w:tcMar>
          </w:tcPr>
          <w:p w14:paraId="C3010000">
            <w:pPr>
              <w:widowControl w:val="0"/>
              <w:spacing w:before="0" w:line="240" w:lineRule="auto"/>
              <w:ind w:firstLine="0" w:left="0"/>
              <w:jc w:val="center"/>
            </w:pPr>
            <w:r>
              <w:t>(указывается объем возмещаемых затрат (показатель C</w:t>
            </w:r>
            <w:r>
              <w:rPr>
                <w:vertAlign w:val="subscript"/>
              </w:rPr>
              <w:t>х</w:t>
            </w:r>
            <w:r>
              <w:t>) за вычетом ранее возмещенных затрат, а также за вычетом мер прямой государственной поддержки, предоставленных в связи с осуществлением проекта)</w:t>
            </w:r>
          </w:p>
        </w:tc>
        <w:tc>
          <w:tcPr>
            <w:tcW w:type="dxa" w:w="1116"/>
            <w:tcMar>
              <w:top w:type="dxa" w:w="0"/>
              <w:left w:type="dxa" w:w="0"/>
              <w:bottom w:type="dxa" w:w="0"/>
              <w:right w:type="dxa" w:w="0"/>
            </w:tcMar>
          </w:tcPr>
          <w:p w14:paraId="C4010000">
            <w:pPr>
              <w:widowControl w:val="0"/>
              <w:spacing w:before="0" w:line="240" w:lineRule="auto"/>
              <w:ind w:firstLine="0" w:left="0"/>
              <w:jc w:val="left"/>
            </w:pPr>
          </w:p>
        </w:tc>
      </w:tr>
    </w:tbl>
    <w:p w14:paraId="C501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8929"/>
      </w:tblGrid>
      <w:tr>
        <w:tc>
          <w:tcPr>
            <w:tcW w:type="dxa" w:w="8929"/>
            <w:tcMar>
              <w:top w:type="dxa" w:w="0"/>
              <w:left w:type="dxa" w:w="0"/>
              <w:bottom w:type="dxa" w:w="0"/>
              <w:right w:type="dxa" w:w="0"/>
            </w:tcMar>
          </w:tcPr>
          <w:p w14:paraId="C6010000">
            <w:pPr>
              <w:widowControl w:val="0"/>
              <w:spacing w:before="0" w:line="240" w:lineRule="auto"/>
              <w:ind w:firstLine="283" w:left="0"/>
              <w:jc w:val="both"/>
            </w:pPr>
            <w:r>
              <w:t>в том числе:</w:t>
            </w:r>
          </w:p>
        </w:tc>
      </w:tr>
      <w:tr>
        <w:tc>
          <w:tcPr>
            <w:tcW w:type="dxa" w:w="8929"/>
            <w:tcMar>
              <w:top w:type="dxa" w:w="0"/>
              <w:left w:type="dxa" w:w="0"/>
              <w:bottom w:type="dxa" w:w="0"/>
              <w:right w:type="dxa" w:w="0"/>
            </w:tcMar>
            <w:vAlign w:val="bottom"/>
          </w:tcPr>
          <w:p w14:paraId="C7010000">
            <w:pPr>
              <w:widowControl w:val="0"/>
              <w:spacing w:before="0" w:line="240" w:lineRule="auto"/>
              <w:ind w:firstLine="283" w:left="0"/>
              <w:jc w:val="both"/>
            </w:pPr>
            <w:r>
              <w:t>с предельным сроком возмещения затрат 5 лет &lt;4&gt; - _____________________________ (рублей) до «__» __________ 20__ г.;</w:t>
            </w:r>
          </w:p>
        </w:tc>
      </w:tr>
      <w:tr>
        <w:tc>
          <w:tcPr>
            <w:tcW w:type="dxa" w:w="8929"/>
            <w:tcMar>
              <w:top w:type="dxa" w:w="0"/>
              <w:left w:type="dxa" w:w="0"/>
              <w:bottom w:type="dxa" w:w="0"/>
              <w:right w:type="dxa" w:w="0"/>
            </w:tcMar>
            <w:vAlign w:val="bottom"/>
          </w:tcPr>
          <w:p w14:paraId="C8010000">
            <w:pPr>
              <w:widowControl w:val="0"/>
              <w:spacing w:before="0" w:line="240" w:lineRule="auto"/>
              <w:ind w:firstLine="283" w:left="0"/>
              <w:jc w:val="both"/>
            </w:pPr>
            <w:r>
              <w:t>с предельным сроком возмещения затрат 10 лет &lt;5&gt; - _____________________________ (рублей) до «__» __________ 20__ г.</w:t>
            </w:r>
          </w:p>
        </w:tc>
      </w:tr>
    </w:tbl>
    <w:p w14:paraId="C901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8929"/>
      </w:tblGrid>
      <w:tr>
        <w:tc>
          <w:tcPr>
            <w:tcW w:type="dxa" w:w="8929"/>
            <w:tcMar>
              <w:top w:type="dxa" w:w="0"/>
              <w:left w:type="dxa" w:w="0"/>
              <w:bottom w:type="dxa" w:w="0"/>
              <w:right w:type="dxa" w:w="0"/>
            </w:tcMar>
          </w:tcPr>
          <w:p w14:paraId="CA010000">
            <w:pPr>
              <w:widowControl w:val="0"/>
              <w:spacing w:before="0" w:line="240" w:lineRule="auto"/>
              <w:ind w:firstLine="0" w:left="0"/>
              <w:jc w:val="center"/>
            </w:pPr>
            <w:r>
              <w:t>Прогнозируемые к уплате организацией, реализующей проект, обязательные платежи, указанные в части 5 статьи 15 Федерального закона, для уплаты в бюджеты публично-правовых образований, являющихся сторонами соглашения о защите и поощрении капиталовложений, в связи с реализацией проекта</w:t>
            </w:r>
          </w:p>
        </w:tc>
      </w:tr>
    </w:tbl>
    <w:p w14:paraId="CB01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607"/>
        <w:gridCol w:w="2330"/>
        <w:gridCol w:w="1198"/>
        <w:gridCol w:w="1198"/>
        <w:gridCol w:w="1198"/>
        <w:gridCol w:w="1198"/>
        <w:gridCol w:w="1200"/>
      </w:tblGrid>
      <w:tr>
        <w:tc>
          <w:tcPr>
            <w:tcW w:type="dxa" w:w="607"/>
            <w:tcBorders>
              <w:top w:color="000000" w:sz="4" w:val="single"/>
              <w:left w:color="000000" w:sz="4" w:val="single"/>
              <w:bottom w:color="000000" w:sz="4" w:val="single"/>
              <w:right w:color="000000" w:sz="4" w:val="single"/>
            </w:tcBorders>
            <w:tcMar>
              <w:top w:type="dxa" w:w="0"/>
              <w:left w:type="dxa" w:w="0"/>
              <w:bottom w:type="dxa" w:w="0"/>
              <w:right w:type="dxa" w:w="0"/>
            </w:tcMar>
          </w:tcPr>
          <w:p w14:paraId="CC010000">
            <w:pPr>
              <w:widowControl w:val="0"/>
              <w:spacing w:before="0" w:line="240" w:lineRule="auto"/>
              <w:ind w:firstLine="0" w:left="0"/>
              <w:jc w:val="center"/>
            </w:pPr>
            <w:r>
              <w:t>N п/п</w:t>
            </w:r>
          </w:p>
        </w:tc>
        <w:tc>
          <w:tcPr>
            <w:tcW w:type="dxa" w:w="2330"/>
            <w:tcBorders>
              <w:top w:color="000000" w:sz="4" w:val="single"/>
              <w:left w:color="000000" w:sz="4" w:val="single"/>
              <w:bottom w:color="000000" w:sz="4" w:val="single"/>
              <w:right w:color="000000" w:sz="4" w:val="single"/>
            </w:tcBorders>
            <w:tcMar>
              <w:top w:type="dxa" w:w="0"/>
              <w:left w:type="dxa" w:w="0"/>
              <w:bottom w:type="dxa" w:w="0"/>
              <w:right w:type="dxa" w:w="0"/>
            </w:tcMar>
          </w:tcPr>
          <w:p w14:paraId="CD010000">
            <w:pPr>
              <w:widowControl w:val="0"/>
              <w:spacing w:before="0" w:line="240" w:lineRule="auto"/>
              <w:ind w:firstLine="0" w:left="0"/>
              <w:jc w:val="center"/>
            </w:pPr>
            <w:r>
              <w:t>Вид обязательных платежей</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CE010000">
            <w:pPr>
              <w:widowControl w:val="0"/>
              <w:spacing w:before="0" w:line="240" w:lineRule="auto"/>
              <w:ind w:firstLine="0" w:left="0"/>
              <w:jc w:val="center"/>
            </w:pPr>
            <w:r>
              <w:t>Прогноз за период</w:t>
            </w:r>
          </w:p>
          <w:p w14:paraId="CF010000">
            <w:pPr>
              <w:widowControl w:val="0"/>
              <w:spacing w:before="0" w:line="240" w:lineRule="auto"/>
              <w:ind w:firstLine="0" w:left="0"/>
              <w:jc w:val="center"/>
            </w:pPr>
            <w:r>
              <w:t>i &lt;6&gt;</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D0010000">
            <w:pPr>
              <w:widowControl w:val="0"/>
              <w:spacing w:before="0" w:line="240" w:lineRule="auto"/>
              <w:ind w:firstLine="0" w:left="0"/>
              <w:jc w:val="center"/>
            </w:pPr>
            <w:r>
              <w:t>Прогноз за период</w:t>
            </w:r>
          </w:p>
          <w:p w14:paraId="D1010000">
            <w:pPr>
              <w:widowControl w:val="0"/>
              <w:spacing w:before="0" w:line="240" w:lineRule="auto"/>
              <w:ind w:firstLine="0" w:left="0"/>
              <w:jc w:val="center"/>
            </w:pPr>
            <w:r>
              <w:t>i + 1</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D2010000">
            <w:pPr>
              <w:widowControl w:val="0"/>
              <w:spacing w:before="0" w:line="240" w:lineRule="auto"/>
              <w:ind w:firstLine="0" w:left="0"/>
              <w:jc w:val="center"/>
            </w:pPr>
            <w:r>
              <w:t>Прогноз за период</w:t>
            </w:r>
          </w:p>
          <w:p w14:paraId="D3010000">
            <w:pPr>
              <w:widowControl w:val="0"/>
              <w:spacing w:before="0" w:line="240" w:lineRule="auto"/>
              <w:ind w:firstLine="0" w:left="0"/>
              <w:jc w:val="center"/>
            </w:pPr>
            <w:r>
              <w:t>i + 2</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D4010000">
            <w:pPr>
              <w:widowControl w:val="0"/>
              <w:spacing w:before="0" w:line="240" w:lineRule="auto"/>
              <w:ind w:firstLine="0" w:left="0"/>
              <w:jc w:val="center"/>
            </w:pPr>
            <w:r>
              <w:t>Прогноз за период</w:t>
            </w:r>
          </w:p>
          <w:p w14:paraId="D5010000">
            <w:pPr>
              <w:widowControl w:val="0"/>
              <w:spacing w:before="0" w:line="240" w:lineRule="auto"/>
              <w:ind w:firstLine="0" w:left="0"/>
              <w:jc w:val="center"/>
            </w:pPr>
            <w:r>
              <w:t>i + n &lt;7&gt;</w:t>
            </w:r>
          </w:p>
        </w:tc>
        <w:tc>
          <w:tcPr>
            <w:tcW w:type="dxa" w:w="1200"/>
            <w:tcBorders>
              <w:top w:color="000000" w:sz="4" w:val="single"/>
              <w:left w:color="000000" w:sz="4" w:val="single"/>
              <w:bottom w:color="000000" w:sz="4" w:val="single"/>
              <w:right w:color="000000" w:sz="4" w:val="single"/>
            </w:tcBorders>
            <w:tcMar>
              <w:top w:type="dxa" w:w="0"/>
              <w:left w:type="dxa" w:w="0"/>
              <w:bottom w:type="dxa" w:w="0"/>
              <w:right w:type="dxa" w:w="0"/>
            </w:tcMar>
          </w:tcPr>
          <w:p w14:paraId="D6010000">
            <w:pPr>
              <w:widowControl w:val="0"/>
              <w:spacing w:before="0" w:line="240" w:lineRule="auto"/>
              <w:ind w:firstLine="0" w:left="0"/>
              <w:jc w:val="center"/>
            </w:pPr>
            <w:r>
              <w:t>Итого, рублей</w:t>
            </w:r>
          </w:p>
        </w:tc>
      </w:tr>
      <w:tr>
        <w:tc>
          <w:tcPr>
            <w:tcW w:type="dxa" w:w="607"/>
            <w:tcBorders>
              <w:top w:color="000000" w:sz="4" w:val="single"/>
              <w:left w:color="000000" w:sz="4" w:val="single"/>
              <w:bottom w:color="000000" w:sz="4" w:val="single"/>
              <w:right w:color="000000" w:sz="4" w:val="single"/>
            </w:tcBorders>
            <w:tcMar>
              <w:top w:type="dxa" w:w="0"/>
              <w:left w:type="dxa" w:w="0"/>
              <w:bottom w:type="dxa" w:w="0"/>
              <w:right w:type="dxa" w:w="0"/>
            </w:tcMar>
          </w:tcPr>
          <w:p w14:paraId="D7010000">
            <w:pPr>
              <w:widowControl w:val="0"/>
              <w:spacing w:before="0" w:line="240" w:lineRule="auto"/>
              <w:ind w:firstLine="0" w:left="0"/>
              <w:jc w:val="center"/>
            </w:pPr>
            <w:r>
              <w:t>1</w:t>
            </w:r>
          </w:p>
        </w:tc>
        <w:tc>
          <w:tcPr>
            <w:tcW w:type="dxa" w:w="2330"/>
            <w:tcBorders>
              <w:top w:color="000000" w:sz="4" w:val="single"/>
              <w:left w:color="000000" w:sz="4" w:val="single"/>
              <w:bottom w:color="000000" w:sz="4" w:val="single"/>
              <w:right w:color="000000" w:sz="4" w:val="single"/>
            </w:tcBorders>
            <w:tcMar>
              <w:top w:type="dxa" w:w="0"/>
              <w:left w:type="dxa" w:w="0"/>
              <w:bottom w:type="dxa" w:w="0"/>
              <w:right w:type="dxa" w:w="0"/>
            </w:tcMar>
          </w:tcPr>
          <w:p w14:paraId="D8010000">
            <w:pPr>
              <w:widowControl w:val="0"/>
              <w:spacing w:before="0" w:line="240" w:lineRule="auto"/>
              <w:ind w:firstLine="0" w:left="0"/>
              <w:jc w:val="left"/>
            </w:pPr>
            <w:r>
              <w:t>Федеральный бюджет</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D9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DA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DB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DC010000">
            <w:pPr>
              <w:widowControl w:val="0"/>
              <w:spacing w:before="0" w:line="240" w:lineRule="auto"/>
              <w:ind w:firstLine="0" w:left="0"/>
              <w:jc w:val="left"/>
            </w:pPr>
          </w:p>
        </w:tc>
        <w:tc>
          <w:tcPr>
            <w:tcW w:type="dxa" w:w="1200"/>
            <w:tcBorders>
              <w:top w:color="000000" w:sz="4" w:val="single"/>
              <w:left w:color="000000" w:sz="4" w:val="single"/>
              <w:bottom w:color="000000" w:sz="4" w:val="single"/>
              <w:right w:color="000000" w:sz="4" w:val="single"/>
            </w:tcBorders>
            <w:tcMar>
              <w:top w:type="dxa" w:w="0"/>
              <w:left w:type="dxa" w:w="0"/>
              <w:bottom w:type="dxa" w:w="0"/>
              <w:right w:type="dxa" w:w="0"/>
            </w:tcMar>
          </w:tcPr>
          <w:p w14:paraId="DD010000">
            <w:pPr>
              <w:widowControl w:val="0"/>
              <w:spacing w:before="0" w:line="240" w:lineRule="auto"/>
              <w:ind w:firstLine="0" w:left="0"/>
              <w:jc w:val="left"/>
            </w:pPr>
          </w:p>
        </w:tc>
      </w:tr>
      <w:tr>
        <w:tc>
          <w:tcPr>
            <w:tcW w:type="dxa" w:w="607"/>
            <w:tcBorders>
              <w:top w:color="000000" w:sz="4" w:val="single"/>
              <w:left w:color="000000" w:sz="4" w:val="single"/>
              <w:bottom w:color="000000" w:sz="4" w:val="single"/>
              <w:right w:color="000000" w:sz="4" w:val="single"/>
            </w:tcBorders>
            <w:tcMar>
              <w:top w:type="dxa" w:w="0"/>
              <w:left w:type="dxa" w:w="0"/>
              <w:bottom w:type="dxa" w:w="0"/>
              <w:right w:type="dxa" w:w="0"/>
            </w:tcMar>
          </w:tcPr>
          <w:p w14:paraId="DE010000">
            <w:pPr>
              <w:widowControl w:val="0"/>
              <w:spacing w:before="0" w:line="240" w:lineRule="auto"/>
              <w:ind w:firstLine="0" w:left="0"/>
              <w:jc w:val="center"/>
            </w:pPr>
            <w:r>
              <w:t>1.1</w:t>
            </w:r>
          </w:p>
        </w:tc>
        <w:tc>
          <w:tcPr>
            <w:tcW w:type="dxa" w:w="2330"/>
            <w:tcBorders>
              <w:top w:color="000000" w:sz="4" w:val="single"/>
              <w:left w:color="000000" w:sz="4" w:val="single"/>
              <w:bottom w:color="000000" w:sz="4" w:val="single"/>
              <w:right w:color="000000" w:sz="4" w:val="single"/>
            </w:tcBorders>
            <w:tcMar>
              <w:top w:type="dxa" w:w="0"/>
              <w:left w:type="dxa" w:w="0"/>
              <w:bottom w:type="dxa" w:w="0"/>
              <w:right w:type="dxa" w:w="0"/>
            </w:tcMar>
          </w:tcPr>
          <w:p w14:paraId="DF010000">
            <w:pPr>
              <w:widowControl w:val="0"/>
              <w:spacing w:before="0" w:line="240" w:lineRule="auto"/>
              <w:ind w:firstLine="0" w:left="0"/>
              <w:jc w:val="left"/>
            </w:pPr>
            <w:r>
              <w:t xml:space="preserve">НДС (НДС </w:t>
            </w:r>
            <w:r>
              <w:drawing>
                <wp:inline>
                  <wp:extent cx="99060" cy="121920"/>
                  <wp:effectExtent b="0" l="0" r="0" t="0"/>
                  <wp:docPr hidden="false" id="16" name="Picture 16"/>
                  <a:graphic>
                    <a:graphicData uri="http://schemas.openxmlformats.org/drawingml/2006/picture">
                      <pic:pic>
                        <pic:nvPicPr>
                          <pic:cNvPr hidden="false" id="15" name="Picture 15"/>
                          <pic:cNvPicPr preferRelativeResize="true"/>
                        </pic:nvPicPr>
                        <pic:blipFill>
                          <a:blip r:embed="rId9"/>
                          <a:srcRect b="0" l="0" r="0" t="0"/>
                          <a:stretch/>
                        </pic:blipFill>
                        <pic:spPr>
                          <a:xfrm flipH="false" flipV="false" rot="0">
                            <a:ext cx="99060" cy="121920"/>
                          </a:xfrm>
                          <a:prstGeom prst="rect"/>
                        </pic:spPr>
                      </pic:pic>
                    </a:graphicData>
                  </a:graphic>
                </wp:inline>
              </w:drawing>
            </w:r>
            <w:r>
              <w:t xml:space="preserve"> 0) &lt;8&gt;</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E0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E1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E2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E3010000">
            <w:pPr>
              <w:widowControl w:val="0"/>
              <w:spacing w:before="0" w:line="240" w:lineRule="auto"/>
              <w:ind w:firstLine="0" w:left="0"/>
              <w:jc w:val="left"/>
            </w:pPr>
          </w:p>
        </w:tc>
        <w:tc>
          <w:tcPr>
            <w:tcW w:type="dxa" w:w="1200"/>
            <w:tcBorders>
              <w:top w:color="000000" w:sz="4" w:val="single"/>
              <w:left w:color="000000" w:sz="4" w:val="single"/>
              <w:bottom w:color="000000" w:sz="4" w:val="single"/>
              <w:right w:color="000000" w:sz="4" w:val="single"/>
            </w:tcBorders>
            <w:tcMar>
              <w:top w:type="dxa" w:w="0"/>
              <w:left w:type="dxa" w:w="0"/>
              <w:bottom w:type="dxa" w:w="0"/>
              <w:right w:type="dxa" w:w="0"/>
            </w:tcMar>
          </w:tcPr>
          <w:p w14:paraId="E4010000">
            <w:pPr>
              <w:widowControl w:val="0"/>
              <w:spacing w:before="0" w:line="240" w:lineRule="auto"/>
              <w:ind w:firstLine="0" w:left="0"/>
              <w:jc w:val="left"/>
            </w:pPr>
          </w:p>
        </w:tc>
      </w:tr>
      <w:tr>
        <w:tc>
          <w:tcPr>
            <w:tcW w:type="dxa" w:w="607"/>
            <w:tcBorders>
              <w:top w:color="000000" w:sz="4" w:val="single"/>
              <w:left w:color="000000" w:sz="4" w:val="single"/>
              <w:bottom w:color="000000" w:sz="4" w:val="single"/>
              <w:right w:color="000000" w:sz="4" w:val="single"/>
            </w:tcBorders>
            <w:tcMar>
              <w:top w:type="dxa" w:w="0"/>
              <w:left w:type="dxa" w:w="0"/>
              <w:bottom w:type="dxa" w:w="0"/>
              <w:right w:type="dxa" w:w="0"/>
            </w:tcMar>
          </w:tcPr>
          <w:p w14:paraId="E5010000">
            <w:pPr>
              <w:widowControl w:val="0"/>
              <w:spacing w:before="0" w:line="240" w:lineRule="auto"/>
              <w:ind w:firstLine="0" w:left="0"/>
              <w:jc w:val="center"/>
            </w:pPr>
            <w:r>
              <w:t>1.2</w:t>
            </w:r>
          </w:p>
        </w:tc>
        <w:tc>
          <w:tcPr>
            <w:tcW w:type="dxa" w:w="2330"/>
            <w:tcBorders>
              <w:top w:color="000000" w:sz="4" w:val="single"/>
              <w:left w:color="000000" w:sz="4" w:val="single"/>
              <w:bottom w:color="000000" w:sz="4" w:val="single"/>
              <w:right w:color="000000" w:sz="4" w:val="single"/>
            </w:tcBorders>
            <w:tcMar>
              <w:top w:type="dxa" w:w="0"/>
              <w:left w:type="dxa" w:w="0"/>
              <w:bottom w:type="dxa" w:w="0"/>
              <w:right w:type="dxa" w:w="0"/>
            </w:tcMar>
          </w:tcPr>
          <w:p w14:paraId="E6010000">
            <w:pPr>
              <w:widowControl w:val="0"/>
              <w:spacing w:before="0" w:line="240" w:lineRule="auto"/>
              <w:ind w:firstLine="0" w:left="0"/>
              <w:jc w:val="left"/>
            </w:pPr>
            <w:r>
              <w:t>Налог на прибыль организаций</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E7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E8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E9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EA010000">
            <w:pPr>
              <w:widowControl w:val="0"/>
              <w:spacing w:before="0" w:line="240" w:lineRule="auto"/>
              <w:ind w:firstLine="0" w:left="0"/>
              <w:jc w:val="left"/>
            </w:pPr>
          </w:p>
        </w:tc>
        <w:tc>
          <w:tcPr>
            <w:tcW w:type="dxa" w:w="1200"/>
            <w:tcBorders>
              <w:top w:color="000000" w:sz="4" w:val="single"/>
              <w:left w:color="000000" w:sz="4" w:val="single"/>
              <w:bottom w:color="000000" w:sz="4" w:val="single"/>
              <w:right w:color="000000" w:sz="4" w:val="single"/>
            </w:tcBorders>
            <w:tcMar>
              <w:top w:type="dxa" w:w="0"/>
              <w:left w:type="dxa" w:w="0"/>
              <w:bottom w:type="dxa" w:w="0"/>
              <w:right w:type="dxa" w:w="0"/>
            </w:tcMar>
          </w:tcPr>
          <w:p w14:paraId="EB010000">
            <w:pPr>
              <w:widowControl w:val="0"/>
              <w:spacing w:before="0" w:line="240" w:lineRule="auto"/>
              <w:ind w:firstLine="0" w:left="0"/>
              <w:jc w:val="left"/>
            </w:pPr>
          </w:p>
        </w:tc>
      </w:tr>
      <w:tr>
        <w:tc>
          <w:tcPr>
            <w:tcW w:type="dxa" w:w="607"/>
            <w:tcBorders>
              <w:top w:color="000000" w:sz="4" w:val="single"/>
              <w:left w:color="000000" w:sz="4" w:val="single"/>
              <w:bottom w:color="000000" w:sz="4" w:val="single"/>
              <w:right w:color="000000" w:sz="4" w:val="single"/>
            </w:tcBorders>
            <w:tcMar>
              <w:top w:type="dxa" w:w="0"/>
              <w:left w:type="dxa" w:w="0"/>
              <w:bottom w:type="dxa" w:w="0"/>
              <w:right w:type="dxa" w:w="0"/>
            </w:tcMar>
          </w:tcPr>
          <w:p w14:paraId="EC010000">
            <w:pPr>
              <w:widowControl w:val="0"/>
              <w:spacing w:before="0" w:line="240" w:lineRule="auto"/>
              <w:ind w:firstLine="0" w:left="0"/>
              <w:jc w:val="center"/>
            </w:pPr>
            <w:r>
              <w:t>1.3</w:t>
            </w:r>
          </w:p>
        </w:tc>
        <w:tc>
          <w:tcPr>
            <w:tcW w:type="dxa" w:w="2330"/>
            <w:tcBorders>
              <w:top w:color="000000" w:sz="4" w:val="single"/>
              <w:left w:color="000000" w:sz="4" w:val="single"/>
              <w:bottom w:color="000000" w:sz="4" w:val="single"/>
              <w:right w:color="000000" w:sz="4" w:val="single"/>
            </w:tcBorders>
            <w:tcMar>
              <w:top w:type="dxa" w:w="0"/>
              <w:left w:type="dxa" w:w="0"/>
              <w:bottom w:type="dxa" w:w="0"/>
              <w:right w:type="dxa" w:w="0"/>
            </w:tcMar>
          </w:tcPr>
          <w:p w14:paraId="ED010000">
            <w:pPr>
              <w:widowControl w:val="0"/>
              <w:spacing w:before="0" w:line="240" w:lineRule="auto"/>
              <w:ind w:firstLine="0" w:left="0"/>
              <w:jc w:val="left"/>
            </w:pPr>
            <w:r>
              <w:t>Ввозные таможенные пошлины, исчисленные и подлежащие уплате</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EE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EF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F0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F1010000">
            <w:pPr>
              <w:widowControl w:val="0"/>
              <w:spacing w:before="0" w:line="240" w:lineRule="auto"/>
              <w:ind w:firstLine="0" w:left="0"/>
              <w:jc w:val="left"/>
            </w:pPr>
          </w:p>
        </w:tc>
        <w:tc>
          <w:tcPr>
            <w:tcW w:type="dxa" w:w="1200"/>
            <w:tcBorders>
              <w:top w:color="000000" w:sz="4" w:val="single"/>
              <w:left w:color="000000" w:sz="4" w:val="single"/>
              <w:bottom w:color="000000" w:sz="4" w:val="single"/>
              <w:right w:color="000000" w:sz="4" w:val="single"/>
            </w:tcBorders>
            <w:tcMar>
              <w:top w:type="dxa" w:w="0"/>
              <w:left w:type="dxa" w:w="0"/>
              <w:bottom w:type="dxa" w:w="0"/>
              <w:right w:type="dxa" w:w="0"/>
            </w:tcMar>
          </w:tcPr>
          <w:p w14:paraId="F2010000">
            <w:pPr>
              <w:widowControl w:val="0"/>
              <w:spacing w:before="0" w:line="240" w:lineRule="auto"/>
              <w:ind w:firstLine="0" w:left="0"/>
              <w:jc w:val="left"/>
            </w:pPr>
          </w:p>
        </w:tc>
      </w:tr>
      <w:tr>
        <w:tc>
          <w:tcPr>
            <w:tcW w:type="dxa" w:w="607"/>
            <w:tcBorders>
              <w:top w:color="000000" w:sz="4" w:val="single"/>
              <w:left w:color="000000" w:sz="4" w:val="single"/>
              <w:bottom w:color="000000" w:sz="4" w:val="single"/>
              <w:right w:color="000000" w:sz="4" w:val="single"/>
            </w:tcBorders>
            <w:tcMar>
              <w:top w:type="dxa" w:w="0"/>
              <w:left w:type="dxa" w:w="0"/>
              <w:bottom w:type="dxa" w:w="0"/>
              <w:right w:type="dxa" w:w="0"/>
            </w:tcMar>
          </w:tcPr>
          <w:p w14:paraId="F3010000">
            <w:pPr>
              <w:widowControl w:val="0"/>
              <w:spacing w:before="0" w:line="240" w:lineRule="auto"/>
              <w:ind w:firstLine="0" w:left="0"/>
              <w:jc w:val="center"/>
            </w:pPr>
            <w:r>
              <w:t>2</w:t>
            </w:r>
          </w:p>
        </w:tc>
        <w:tc>
          <w:tcPr>
            <w:tcW w:type="dxa" w:w="2330"/>
            <w:tcBorders>
              <w:top w:color="000000" w:sz="4" w:val="single"/>
              <w:left w:color="000000" w:sz="4" w:val="single"/>
              <w:bottom w:color="000000" w:sz="4" w:val="single"/>
              <w:right w:color="000000" w:sz="4" w:val="single"/>
            </w:tcBorders>
            <w:tcMar>
              <w:top w:type="dxa" w:w="0"/>
              <w:left w:type="dxa" w:w="0"/>
              <w:bottom w:type="dxa" w:w="0"/>
              <w:right w:type="dxa" w:w="0"/>
            </w:tcMar>
          </w:tcPr>
          <w:p w14:paraId="F4010000">
            <w:pPr>
              <w:widowControl w:val="0"/>
              <w:spacing w:before="0" w:line="240" w:lineRule="auto"/>
              <w:ind w:firstLine="0" w:left="0"/>
              <w:jc w:val="left"/>
            </w:pPr>
            <w:r>
              <w:t>Бюджет субъекта Российской Федерации</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F5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F6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F7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F8010000">
            <w:pPr>
              <w:widowControl w:val="0"/>
              <w:spacing w:before="0" w:line="240" w:lineRule="auto"/>
              <w:ind w:firstLine="0" w:left="0"/>
              <w:jc w:val="left"/>
            </w:pPr>
          </w:p>
        </w:tc>
        <w:tc>
          <w:tcPr>
            <w:tcW w:type="dxa" w:w="1200"/>
            <w:tcBorders>
              <w:top w:color="000000" w:sz="4" w:val="single"/>
              <w:left w:color="000000" w:sz="4" w:val="single"/>
              <w:bottom w:color="000000" w:sz="4" w:val="single"/>
              <w:right w:color="000000" w:sz="4" w:val="single"/>
            </w:tcBorders>
            <w:tcMar>
              <w:top w:type="dxa" w:w="0"/>
              <w:left w:type="dxa" w:w="0"/>
              <w:bottom w:type="dxa" w:w="0"/>
              <w:right w:type="dxa" w:w="0"/>
            </w:tcMar>
          </w:tcPr>
          <w:p w14:paraId="F9010000">
            <w:pPr>
              <w:widowControl w:val="0"/>
              <w:spacing w:before="0" w:line="240" w:lineRule="auto"/>
              <w:ind w:firstLine="0" w:left="0"/>
              <w:jc w:val="left"/>
            </w:pPr>
          </w:p>
        </w:tc>
      </w:tr>
      <w:tr>
        <w:tc>
          <w:tcPr>
            <w:tcW w:type="dxa" w:w="607"/>
            <w:tcBorders>
              <w:top w:color="000000" w:sz="4" w:val="single"/>
              <w:left w:color="000000" w:sz="4" w:val="single"/>
              <w:bottom w:color="000000" w:sz="4" w:val="single"/>
              <w:right w:color="000000" w:sz="4" w:val="single"/>
            </w:tcBorders>
            <w:tcMar>
              <w:top w:type="dxa" w:w="0"/>
              <w:left w:type="dxa" w:w="0"/>
              <w:bottom w:type="dxa" w:w="0"/>
              <w:right w:type="dxa" w:w="0"/>
            </w:tcMar>
          </w:tcPr>
          <w:p w14:paraId="FA010000">
            <w:pPr>
              <w:widowControl w:val="0"/>
              <w:spacing w:before="0" w:line="240" w:lineRule="auto"/>
              <w:ind w:firstLine="0" w:left="0"/>
              <w:jc w:val="center"/>
            </w:pPr>
            <w:r>
              <w:t>2.1</w:t>
            </w:r>
          </w:p>
        </w:tc>
        <w:tc>
          <w:tcPr>
            <w:tcW w:type="dxa" w:w="2330"/>
            <w:tcBorders>
              <w:top w:color="000000" w:sz="4" w:val="single"/>
              <w:left w:color="000000" w:sz="4" w:val="single"/>
              <w:bottom w:color="000000" w:sz="4" w:val="single"/>
              <w:right w:color="000000" w:sz="4" w:val="single"/>
            </w:tcBorders>
            <w:tcMar>
              <w:top w:type="dxa" w:w="0"/>
              <w:left w:type="dxa" w:w="0"/>
              <w:bottom w:type="dxa" w:w="0"/>
              <w:right w:type="dxa" w:w="0"/>
            </w:tcMar>
          </w:tcPr>
          <w:p w14:paraId="FB010000">
            <w:pPr>
              <w:widowControl w:val="0"/>
              <w:spacing w:before="0" w:line="240" w:lineRule="auto"/>
              <w:ind w:firstLine="0" w:left="0"/>
              <w:jc w:val="left"/>
            </w:pPr>
            <w:r>
              <w:t>Налог на прибыль организаций</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FC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FD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FE01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FF010000">
            <w:pPr>
              <w:widowControl w:val="0"/>
              <w:spacing w:before="0" w:line="240" w:lineRule="auto"/>
              <w:ind w:firstLine="0" w:left="0"/>
              <w:jc w:val="left"/>
            </w:pPr>
          </w:p>
        </w:tc>
        <w:tc>
          <w:tcPr>
            <w:tcW w:type="dxa" w:w="1200"/>
            <w:tcBorders>
              <w:top w:color="000000" w:sz="4" w:val="single"/>
              <w:left w:color="000000" w:sz="4" w:val="single"/>
              <w:bottom w:color="000000" w:sz="4" w:val="single"/>
              <w:right w:color="000000" w:sz="4" w:val="single"/>
            </w:tcBorders>
            <w:tcMar>
              <w:top w:type="dxa" w:w="0"/>
              <w:left w:type="dxa" w:w="0"/>
              <w:bottom w:type="dxa" w:w="0"/>
              <w:right w:type="dxa" w:w="0"/>
            </w:tcMar>
          </w:tcPr>
          <w:p w14:paraId="00020000">
            <w:pPr>
              <w:widowControl w:val="0"/>
              <w:spacing w:before="0" w:line="240" w:lineRule="auto"/>
              <w:ind w:firstLine="0" w:left="0"/>
              <w:jc w:val="left"/>
            </w:pPr>
          </w:p>
        </w:tc>
      </w:tr>
      <w:tr>
        <w:tc>
          <w:tcPr>
            <w:tcW w:type="dxa" w:w="607"/>
            <w:tcBorders>
              <w:top w:color="000000" w:sz="4" w:val="single"/>
              <w:left w:color="000000" w:sz="4" w:val="single"/>
              <w:bottom w:color="000000" w:sz="4" w:val="single"/>
              <w:right w:color="000000" w:sz="4" w:val="single"/>
            </w:tcBorders>
            <w:tcMar>
              <w:top w:type="dxa" w:w="0"/>
              <w:left w:type="dxa" w:w="0"/>
              <w:bottom w:type="dxa" w:w="0"/>
              <w:right w:type="dxa" w:w="0"/>
            </w:tcMar>
          </w:tcPr>
          <w:p w14:paraId="01020000">
            <w:pPr>
              <w:widowControl w:val="0"/>
              <w:spacing w:before="0" w:line="240" w:lineRule="auto"/>
              <w:ind w:firstLine="0" w:left="0"/>
              <w:jc w:val="center"/>
            </w:pPr>
            <w:r>
              <w:t>2.2</w:t>
            </w:r>
          </w:p>
        </w:tc>
        <w:tc>
          <w:tcPr>
            <w:tcW w:type="dxa" w:w="2330"/>
            <w:tcBorders>
              <w:top w:color="000000" w:sz="4" w:val="single"/>
              <w:left w:color="000000" w:sz="4" w:val="single"/>
              <w:bottom w:color="000000" w:sz="4" w:val="single"/>
              <w:right w:color="000000" w:sz="4" w:val="single"/>
            </w:tcBorders>
            <w:tcMar>
              <w:top w:type="dxa" w:w="0"/>
              <w:left w:type="dxa" w:w="0"/>
              <w:bottom w:type="dxa" w:w="0"/>
              <w:right w:type="dxa" w:w="0"/>
            </w:tcMar>
          </w:tcPr>
          <w:p w14:paraId="02020000">
            <w:pPr>
              <w:widowControl w:val="0"/>
              <w:spacing w:before="0" w:line="240" w:lineRule="auto"/>
              <w:ind w:firstLine="0" w:left="0"/>
              <w:jc w:val="left"/>
            </w:pPr>
            <w:r>
              <w:t>Налог на имущество организаций</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0302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0402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0502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06020000">
            <w:pPr>
              <w:widowControl w:val="0"/>
              <w:spacing w:before="0" w:line="240" w:lineRule="auto"/>
              <w:ind w:firstLine="0" w:left="0"/>
              <w:jc w:val="left"/>
            </w:pPr>
          </w:p>
        </w:tc>
        <w:tc>
          <w:tcPr>
            <w:tcW w:type="dxa" w:w="1200"/>
            <w:tcBorders>
              <w:top w:color="000000" w:sz="4" w:val="single"/>
              <w:left w:color="000000" w:sz="4" w:val="single"/>
              <w:bottom w:color="000000" w:sz="4" w:val="single"/>
              <w:right w:color="000000" w:sz="4" w:val="single"/>
            </w:tcBorders>
            <w:tcMar>
              <w:top w:type="dxa" w:w="0"/>
              <w:left w:type="dxa" w:w="0"/>
              <w:bottom w:type="dxa" w:w="0"/>
              <w:right w:type="dxa" w:w="0"/>
            </w:tcMar>
          </w:tcPr>
          <w:p w14:paraId="07020000">
            <w:pPr>
              <w:widowControl w:val="0"/>
              <w:spacing w:before="0" w:line="240" w:lineRule="auto"/>
              <w:ind w:firstLine="0" w:left="0"/>
              <w:jc w:val="left"/>
            </w:pPr>
          </w:p>
        </w:tc>
      </w:tr>
      <w:tr>
        <w:tc>
          <w:tcPr>
            <w:tcW w:type="dxa" w:w="607"/>
            <w:tcBorders>
              <w:top w:color="000000" w:sz="4" w:val="single"/>
              <w:left w:color="000000" w:sz="4" w:val="single"/>
              <w:bottom w:color="000000" w:sz="4" w:val="single"/>
              <w:right w:color="000000" w:sz="4" w:val="single"/>
            </w:tcBorders>
            <w:tcMar>
              <w:top w:type="dxa" w:w="0"/>
              <w:left w:type="dxa" w:w="0"/>
              <w:bottom w:type="dxa" w:w="0"/>
              <w:right w:type="dxa" w:w="0"/>
            </w:tcMar>
          </w:tcPr>
          <w:p w14:paraId="08020000">
            <w:pPr>
              <w:widowControl w:val="0"/>
              <w:spacing w:before="0" w:line="240" w:lineRule="auto"/>
              <w:ind w:firstLine="0" w:left="0"/>
              <w:jc w:val="center"/>
            </w:pPr>
            <w:r>
              <w:t>3</w:t>
            </w:r>
          </w:p>
        </w:tc>
        <w:tc>
          <w:tcPr>
            <w:tcW w:type="dxa" w:w="2330"/>
            <w:tcBorders>
              <w:top w:color="000000" w:sz="4" w:val="single"/>
              <w:left w:color="000000" w:sz="4" w:val="single"/>
              <w:bottom w:color="000000" w:sz="4" w:val="single"/>
              <w:right w:color="000000" w:sz="4" w:val="single"/>
            </w:tcBorders>
            <w:tcMar>
              <w:top w:type="dxa" w:w="0"/>
              <w:left w:type="dxa" w:w="0"/>
              <w:bottom w:type="dxa" w:w="0"/>
              <w:right w:type="dxa" w:w="0"/>
            </w:tcMar>
          </w:tcPr>
          <w:p w14:paraId="09020000">
            <w:pPr>
              <w:widowControl w:val="0"/>
              <w:spacing w:before="0" w:line="240" w:lineRule="auto"/>
              <w:ind w:firstLine="0" w:left="0"/>
              <w:jc w:val="left"/>
            </w:pPr>
            <w:r>
              <w:t>Местный бюджет (если применимо)</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0A02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0B02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0C02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0D020000">
            <w:pPr>
              <w:widowControl w:val="0"/>
              <w:spacing w:before="0" w:line="240" w:lineRule="auto"/>
              <w:ind w:firstLine="0" w:left="0"/>
              <w:jc w:val="left"/>
            </w:pPr>
          </w:p>
        </w:tc>
        <w:tc>
          <w:tcPr>
            <w:tcW w:type="dxa" w:w="1200"/>
            <w:tcBorders>
              <w:top w:color="000000" w:sz="4" w:val="single"/>
              <w:left w:color="000000" w:sz="4" w:val="single"/>
              <w:bottom w:color="000000" w:sz="4" w:val="single"/>
              <w:right w:color="000000" w:sz="4" w:val="single"/>
            </w:tcBorders>
            <w:tcMar>
              <w:top w:type="dxa" w:w="0"/>
              <w:left w:type="dxa" w:w="0"/>
              <w:bottom w:type="dxa" w:w="0"/>
              <w:right w:type="dxa" w:w="0"/>
            </w:tcMar>
          </w:tcPr>
          <w:p w14:paraId="0E020000">
            <w:pPr>
              <w:widowControl w:val="0"/>
              <w:spacing w:before="0" w:line="240" w:lineRule="auto"/>
              <w:ind w:firstLine="0" w:left="0"/>
              <w:jc w:val="left"/>
            </w:pPr>
          </w:p>
        </w:tc>
      </w:tr>
      <w:tr>
        <w:tc>
          <w:tcPr>
            <w:tcW w:type="dxa" w:w="607"/>
            <w:tcBorders>
              <w:top w:color="000000" w:sz="4" w:val="single"/>
              <w:left w:color="000000" w:sz="4" w:val="single"/>
              <w:bottom w:color="000000" w:sz="4" w:val="single"/>
              <w:right w:color="000000" w:sz="4" w:val="single"/>
            </w:tcBorders>
            <w:tcMar>
              <w:top w:type="dxa" w:w="0"/>
              <w:left w:type="dxa" w:w="0"/>
              <w:bottom w:type="dxa" w:w="0"/>
              <w:right w:type="dxa" w:w="0"/>
            </w:tcMar>
          </w:tcPr>
          <w:p w14:paraId="0F020000">
            <w:pPr>
              <w:widowControl w:val="0"/>
              <w:spacing w:before="0" w:line="240" w:lineRule="auto"/>
              <w:ind w:firstLine="0" w:left="0"/>
              <w:jc w:val="center"/>
            </w:pPr>
            <w:r>
              <w:t>3.1</w:t>
            </w:r>
          </w:p>
        </w:tc>
        <w:tc>
          <w:tcPr>
            <w:tcW w:type="dxa" w:w="2330"/>
            <w:tcBorders>
              <w:top w:color="000000" w:sz="4" w:val="single"/>
              <w:left w:color="000000" w:sz="4" w:val="single"/>
              <w:bottom w:color="000000" w:sz="4" w:val="single"/>
              <w:right w:color="000000" w:sz="4" w:val="single"/>
            </w:tcBorders>
            <w:tcMar>
              <w:top w:type="dxa" w:w="0"/>
              <w:left w:type="dxa" w:w="0"/>
              <w:bottom w:type="dxa" w:w="0"/>
              <w:right w:type="dxa" w:w="0"/>
            </w:tcMar>
          </w:tcPr>
          <w:p w14:paraId="10020000">
            <w:pPr>
              <w:widowControl w:val="0"/>
              <w:spacing w:before="0" w:line="240" w:lineRule="auto"/>
              <w:ind w:firstLine="0" w:left="0"/>
              <w:jc w:val="left"/>
            </w:pPr>
            <w:r>
              <w:t>Земельный налог</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1102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1202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1302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14020000">
            <w:pPr>
              <w:widowControl w:val="0"/>
              <w:spacing w:before="0" w:line="240" w:lineRule="auto"/>
              <w:ind w:firstLine="0" w:left="0"/>
              <w:jc w:val="left"/>
            </w:pPr>
          </w:p>
        </w:tc>
        <w:tc>
          <w:tcPr>
            <w:tcW w:type="dxa" w:w="1200"/>
            <w:tcBorders>
              <w:top w:color="000000" w:sz="4" w:val="single"/>
              <w:left w:color="000000" w:sz="4" w:val="single"/>
              <w:bottom w:color="000000" w:sz="4" w:val="single"/>
              <w:right w:color="000000" w:sz="4" w:val="single"/>
            </w:tcBorders>
            <w:tcMar>
              <w:top w:type="dxa" w:w="0"/>
              <w:left w:type="dxa" w:w="0"/>
              <w:bottom w:type="dxa" w:w="0"/>
              <w:right w:type="dxa" w:w="0"/>
            </w:tcMar>
          </w:tcPr>
          <w:p w14:paraId="15020000">
            <w:pPr>
              <w:widowControl w:val="0"/>
              <w:spacing w:before="0" w:line="240" w:lineRule="auto"/>
              <w:ind w:firstLine="0" w:left="0"/>
              <w:jc w:val="left"/>
            </w:pPr>
          </w:p>
        </w:tc>
      </w:tr>
      <w:tr>
        <w:tc>
          <w:tcPr>
            <w:tcW w:type="dxa" w:w="607"/>
            <w:tcBorders>
              <w:top w:color="000000" w:sz="4" w:val="single"/>
              <w:left w:color="000000" w:sz="4" w:val="single"/>
              <w:bottom w:color="000000" w:sz="4" w:val="single"/>
              <w:right w:color="000000" w:sz="4" w:val="single"/>
            </w:tcBorders>
            <w:tcMar>
              <w:top w:type="dxa" w:w="0"/>
              <w:left w:type="dxa" w:w="0"/>
              <w:bottom w:type="dxa" w:w="0"/>
              <w:right w:type="dxa" w:w="0"/>
            </w:tcMar>
          </w:tcPr>
          <w:p w14:paraId="16020000">
            <w:pPr>
              <w:widowControl w:val="0"/>
              <w:spacing w:before="0" w:line="240" w:lineRule="auto"/>
              <w:ind w:firstLine="0" w:left="0"/>
              <w:jc w:val="left"/>
            </w:pPr>
          </w:p>
        </w:tc>
        <w:tc>
          <w:tcPr>
            <w:tcW w:type="dxa" w:w="2330"/>
            <w:tcBorders>
              <w:top w:color="000000" w:sz="4" w:val="single"/>
              <w:left w:color="000000" w:sz="4" w:val="single"/>
              <w:bottom w:color="000000" w:sz="4" w:val="single"/>
              <w:right w:color="000000" w:sz="4" w:val="single"/>
            </w:tcBorders>
            <w:tcMar>
              <w:top w:type="dxa" w:w="0"/>
              <w:left w:type="dxa" w:w="0"/>
              <w:bottom w:type="dxa" w:w="0"/>
              <w:right w:type="dxa" w:w="0"/>
            </w:tcMar>
          </w:tcPr>
          <w:p w14:paraId="17020000">
            <w:pPr>
              <w:widowControl w:val="0"/>
              <w:spacing w:before="0" w:line="240" w:lineRule="auto"/>
              <w:ind w:firstLine="0" w:left="0"/>
              <w:jc w:val="left"/>
            </w:pPr>
            <w:r>
              <w:t>Итого</w:t>
            </w: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1802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1902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1A020000">
            <w:pPr>
              <w:widowControl w:val="0"/>
              <w:spacing w:before="0" w:line="240" w:lineRule="auto"/>
              <w:ind w:firstLine="0" w:left="0"/>
              <w:jc w:val="left"/>
            </w:pPr>
          </w:p>
        </w:tc>
        <w:tc>
          <w:tcPr>
            <w:tcW w:type="dxa" w:w="1198"/>
            <w:tcBorders>
              <w:top w:color="000000" w:sz="4" w:val="single"/>
              <w:left w:color="000000" w:sz="4" w:val="single"/>
              <w:bottom w:color="000000" w:sz="4" w:val="single"/>
              <w:right w:color="000000" w:sz="4" w:val="single"/>
            </w:tcBorders>
            <w:tcMar>
              <w:top w:type="dxa" w:w="0"/>
              <w:left w:type="dxa" w:w="0"/>
              <w:bottom w:type="dxa" w:w="0"/>
              <w:right w:type="dxa" w:w="0"/>
            </w:tcMar>
          </w:tcPr>
          <w:p w14:paraId="1B020000">
            <w:pPr>
              <w:widowControl w:val="0"/>
              <w:spacing w:before="0" w:line="240" w:lineRule="auto"/>
              <w:ind w:firstLine="0" w:left="0"/>
              <w:jc w:val="left"/>
            </w:pPr>
          </w:p>
        </w:tc>
        <w:tc>
          <w:tcPr>
            <w:tcW w:type="dxa" w:w="1200"/>
            <w:tcBorders>
              <w:top w:color="000000" w:sz="4" w:val="single"/>
              <w:left w:color="000000" w:sz="4" w:val="single"/>
              <w:bottom w:color="000000" w:sz="4" w:val="single"/>
              <w:right w:color="000000" w:sz="4" w:val="single"/>
            </w:tcBorders>
            <w:tcMar>
              <w:top w:type="dxa" w:w="0"/>
              <w:left w:type="dxa" w:w="0"/>
              <w:bottom w:type="dxa" w:w="0"/>
              <w:right w:type="dxa" w:w="0"/>
            </w:tcMar>
          </w:tcPr>
          <w:p w14:paraId="1C020000">
            <w:pPr>
              <w:widowControl w:val="0"/>
              <w:spacing w:before="0" w:line="240" w:lineRule="auto"/>
              <w:ind w:firstLine="0" w:left="0"/>
              <w:jc w:val="left"/>
            </w:pPr>
          </w:p>
        </w:tc>
      </w:tr>
    </w:tbl>
    <w:p w14:paraId="1D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8929"/>
      </w:tblGrid>
      <w:tr>
        <w:tc>
          <w:tcPr>
            <w:tcW w:type="dxa" w:w="8929"/>
            <w:tcMar>
              <w:top w:type="dxa" w:w="0"/>
              <w:left w:type="dxa" w:w="0"/>
              <w:bottom w:type="dxa" w:w="0"/>
              <w:right w:type="dxa" w:w="0"/>
            </w:tcMar>
          </w:tcPr>
          <w:p w14:paraId="1E020000">
            <w:pPr>
              <w:widowControl w:val="0"/>
              <w:spacing w:before="0" w:line="240" w:lineRule="auto"/>
              <w:ind w:firstLine="0" w:left="0"/>
              <w:jc w:val="center"/>
            </w:pPr>
            <w:r>
              <w:t>Расчет объема фактически понесенных затрат на уплату процентов по кредиту (займу), полученному в рублях &lt;9&gt;</w:t>
            </w:r>
          </w:p>
        </w:tc>
      </w:tr>
    </w:tbl>
    <w:p w14:paraId="1F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338"/>
        <w:gridCol w:w="1591"/>
        <w:gridCol w:w="925"/>
        <w:gridCol w:w="2546"/>
        <w:gridCol w:w="771"/>
        <w:gridCol w:w="2759"/>
      </w:tblGrid>
      <w:tr>
        <w:trPr>
          <w:trHeight w:hRule="atLeast" w:val="212"/>
        </w:trPr>
        <w:tc>
          <w:tcPr>
            <w:tcW w:type="dxa" w:w="8929"/>
            <w:gridSpan w:val="6"/>
            <w:tcMar>
              <w:top w:type="dxa" w:w="0"/>
              <w:left w:type="dxa" w:w="0"/>
              <w:bottom w:type="dxa" w:w="0"/>
              <w:right w:type="dxa" w:w="0"/>
            </w:tcMar>
          </w:tcPr>
          <w:p w14:paraId="20020000">
            <w:pPr>
              <w:widowControl w:val="0"/>
              <w:spacing w:before="0" w:line="240" w:lineRule="auto"/>
              <w:ind w:firstLine="0" w:left="0"/>
              <w:jc w:val="left"/>
            </w:pPr>
            <w:r>
              <w:t>за период с «__» _______________ 20__ г. по «__» _______________ 20__ г. &lt;10&gt;</w:t>
            </w:r>
          </w:p>
        </w:tc>
      </w:tr>
      <w:tr>
        <w:tc>
          <w:tcPr>
            <w:tcW w:type="dxa" w:w="1929"/>
            <w:gridSpan w:val="2"/>
            <w:tcMar>
              <w:top w:type="dxa" w:w="0"/>
              <w:left w:type="dxa" w:w="0"/>
              <w:bottom w:type="dxa" w:w="0"/>
              <w:right w:type="dxa" w:w="0"/>
            </w:tcMar>
            <w:vAlign w:val="bottom"/>
          </w:tcPr>
          <w:p w14:paraId="21020000">
            <w:pPr>
              <w:widowControl w:val="0"/>
              <w:spacing w:before="0" w:line="240" w:lineRule="auto"/>
              <w:ind w:firstLine="0" w:left="0"/>
              <w:jc w:val="left"/>
            </w:pPr>
            <w:r>
              <w:t>расчетный счет</w:t>
            </w:r>
          </w:p>
        </w:tc>
        <w:tc>
          <w:tcPr>
            <w:tcW w:type="dxa" w:w="7000"/>
            <w:gridSpan w:val="4"/>
            <w:tcBorders>
              <w:bottom w:color="000000" w:sz="4" w:val="single"/>
            </w:tcBorders>
            <w:tcMar>
              <w:top w:type="dxa" w:w="0"/>
              <w:left w:type="dxa" w:w="0"/>
              <w:bottom w:type="dxa" w:w="0"/>
              <w:right w:type="dxa" w:w="0"/>
            </w:tcMar>
          </w:tcPr>
          <w:p w14:paraId="22020000">
            <w:pPr>
              <w:widowControl w:val="0"/>
              <w:spacing w:before="0" w:line="240" w:lineRule="auto"/>
              <w:ind w:firstLine="0" w:left="0"/>
              <w:jc w:val="left"/>
            </w:pPr>
          </w:p>
        </w:tc>
      </w:tr>
      <w:tr>
        <w:tc>
          <w:tcPr>
            <w:tcW w:type="dxa" w:w="338"/>
            <w:tcMar>
              <w:top w:type="dxa" w:w="0"/>
              <w:left w:type="dxa" w:w="0"/>
              <w:bottom w:type="dxa" w:w="0"/>
              <w:right w:type="dxa" w:w="0"/>
            </w:tcMar>
            <w:vAlign w:val="bottom"/>
          </w:tcPr>
          <w:p w14:paraId="23020000">
            <w:pPr>
              <w:widowControl w:val="0"/>
              <w:spacing w:before="0" w:line="240" w:lineRule="auto"/>
              <w:ind w:firstLine="0" w:left="0"/>
              <w:jc w:val="left"/>
            </w:pPr>
            <w:r>
              <w:t>в</w:t>
            </w:r>
          </w:p>
        </w:tc>
        <w:tc>
          <w:tcPr>
            <w:tcW w:type="dxa" w:w="5061"/>
            <w:gridSpan w:val="3"/>
            <w:tcBorders>
              <w:bottom w:color="000000" w:sz="4" w:val="single"/>
            </w:tcBorders>
            <w:tcMar>
              <w:top w:type="dxa" w:w="0"/>
              <w:left w:type="dxa" w:w="0"/>
              <w:bottom w:type="dxa" w:w="0"/>
              <w:right w:type="dxa" w:w="0"/>
            </w:tcMar>
          </w:tcPr>
          <w:p w14:paraId="24020000">
            <w:pPr>
              <w:widowControl w:val="0"/>
              <w:spacing w:before="0" w:line="240" w:lineRule="auto"/>
              <w:ind w:firstLine="0" w:left="0"/>
              <w:jc w:val="left"/>
            </w:pPr>
          </w:p>
        </w:tc>
        <w:tc>
          <w:tcPr>
            <w:tcW w:type="dxa" w:w="771"/>
            <w:tcBorders>
              <w:top w:color="000000" w:sz="4" w:val="single"/>
            </w:tcBorders>
            <w:tcMar>
              <w:top w:type="dxa" w:w="0"/>
              <w:left w:type="dxa" w:w="0"/>
              <w:bottom w:type="dxa" w:w="0"/>
              <w:right w:type="dxa" w:w="0"/>
            </w:tcMar>
            <w:vAlign w:val="bottom"/>
          </w:tcPr>
          <w:p w14:paraId="25020000">
            <w:pPr>
              <w:widowControl w:val="0"/>
              <w:spacing w:before="0" w:line="240" w:lineRule="auto"/>
              <w:ind w:firstLine="0" w:left="0"/>
              <w:jc w:val="both"/>
            </w:pPr>
            <w:r>
              <w:t>, БИК</w:t>
            </w:r>
          </w:p>
        </w:tc>
        <w:tc>
          <w:tcPr>
            <w:tcW w:type="dxa" w:w="2759"/>
            <w:tcBorders>
              <w:top w:color="000000" w:sz="4" w:val="single"/>
              <w:bottom w:color="000000" w:sz="4" w:val="single"/>
            </w:tcBorders>
            <w:tcMar>
              <w:top w:type="dxa" w:w="0"/>
              <w:left w:type="dxa" w:w="0"/>
              <w:bottom w:type="dxa" w:w="0"/>
              <w:right w:type="dxa" w:w="0"/>
            </w:tcMar>
          </w:tcPr>
          <w:p w14:paraId="26020000">
            <w:pPr>
              <w:widowControl w:val="0"/>
              <w:spacing w:before="0" w:line="240" w:lineRule="auto"/>
              <w:ind w:firstLine="0" w:left="0"/>
              <w:jc w:val="left"/>
            </w:pPr>
          </w:p>
        </w:tc>
      </w:tr>
      <w:tr>
        <w:tc>
          <w:tcPr>
            <w:tcW w:type="dxa" w:w="338"/>
            <w:tcMar>
              <w:top w:type="dxa" w:w="0"/>
              <w:left w:type="dxa" w:w="0"/>
              <w:bottom w:type="dxa" w:w="0"/>
              <w:right w:type="dxa" w:w="0"/>
            </w:tcMar>
          </w:tcPr>
          <w:p w14:paraId="27020000">
            <w:pPr>
              <w:widowControl w:val="0"/>
              <w:spacing w:before="0" w:line="240" w:lineRule="auto"/>
              <w:ind w:firstLine="0" w:left="0"/>
              <w:jc w:val="left"/>
            </w:pPr>
          </w:p>
        </w:tc>
        <w:tc>
          <w:tcPr>
            <w:tcW w:type="dxa" w:w="5061"/>
            <w:gridSpan w:val="3"/>
            <w:tcBorders>
              <w:top w:color="000000" w:sz="4" w:val="single"/>
            </w:tcBorders>
            <w:tcMar>
              <w:top w:type="dxa" w:w="0"/>
              <w:left w:type="dxa" w:w="0"/>
              <w:bottom w:type="dxa" w:w="0"/>
              <w:right w:type="dxa" w:w="0"/>
            </w:tcMar>
          </w:tcPr>
          <w:p w14:paraId="28020000">
            <w:pPr>
              <w:widowControl w:val="0"/>
              <w:spacing w:before="0" w:line="240" w:lineRule="auto"/>
              <w:ind w:firstLine="0" w:left="0"/>
              <w:jc w:val="center"/>
            </w:pPr>
            <w:r>
              <w:t>(наименование кредитной организации, заимодавец)</w:t>
            </w:r>
          </w:p>
        </w:tc>
        <w:tc>
          <w:tcPr>
            <w:tcW w:type="dxa" w:w="771"/>
            <w:tcMar>
              <w:top w:type="dxa" w:w="0"/>
              <w:left w:type="dxa" w:w="0"/>
              <w:bottom w:type="dxa" w:w="0"/>
              <w:right w:type="dxa" w:w="0"/>
            </w:tcMar>
          </w:tcPr>
          <w:p w14:paraId="29020000">
            <w:pPr>
              <w:widowControl w:val="0"/>
              <w:spacing w:before="0" w:line="240" w:lineRule="auto"/>
              <w:ind w:firstLine="0" w:left="0"/>
              <w:jc w:val="left"/>
            </w:pPr>
          </w:p>
        </w:tc>
        <w:tc>
          <w:tcPr>
            <w:tcW w:type="dxa" w:w="2759"/>
            <w:tcBorders>
              <w:top w:color="000000" w:sz="4" w:val="single"/>
            </w:tcBorders>
            <w:tcMar>
              <w:top w:type="dxa" w:w="0"/>
              <w:left w:type="dxa" w:w="0"/>
              <w:bottom w:type="dxa" w:w="0"/>
              <w:right w:type="dxa" w:w="0"/>
            </w:tcMar>
          </w:tcPr>
          <w:p w14:paraId="2A020000">
            <w:pPr>
              <w:widowControl w:val="0"/>
              <w:spacing w:before="0" w:line="240" w:lineRule="auto"/>
              <w:ind w:firstLine="0" w:left="0"/>
              <w:jc w:val="left"/>
            </w:pPr>
          </w:p>
        </w:tc>
      </w:tr>
      <w:tr>
        <w:tc>
          <w:tcPr>
            <w:tcW w:type="dxa" w:w="2854"/>
            <w:gridSpan w:val="3"/>
            <w:tcMar>
              <w:top w:type="dxa" w:w="0"/>
              <w:left w:type="dxa" w:w="0"/>
              <w:bottom w:type="dxa" w:w="0"/>
              <w:right w:type="dxa" w:w="0"/>
            </w:tcMar>
            <w:vAlign w:val="bottom"/>
          </w:tcPr>
          <w:p w14:paraId="2B020000">
            <w:pPr>
              <w:widowControl w:val="0"/>
              <w:spacing w:before="0" w:line="240" w:lineRule="auto"/>
              <w:ind w:firstLine="0" w:left="0"/>
              <w:jc w:val="left"/>
            </w:pPr>
            <w:r>
              <w:t>корреспондентский счет</w:t>
            </w:r>
          </w:p>
        </w:tc>
        <w:tc>
          <w:tcPr>
            <w:tcW w:type="dxa" w:w="6075"/>
            <w:gridSpan w:val="3"/>
            <w:tcBorders>
              <w:bottom w:color="000000" w:sz="4" w:val="single"/>
            </w:tcBorders>
            <w:tcMar>
              <w:top w:type="dxa" w:w="0"/>
              <w:left w:type="dxa" w:w="0"/>
              <w:bottom w:type="dxa" w:w="0"/>
              <w:right w:type="dxa" w:w="0"/>
            </w:tcMar>
          </w:tcPr>
          <w:p w14:paraId="2C020000">
            <w:pPr>
              <w:widowControl w:val="0"/>
              <w:spacing w:before="0" w:line="240" w:lineRule="auto"/>
              <w:ind w:firstLine="0" w:left="0"/>
              <w:jc w:val="left"/>
            </w:pPr>
          </w:p>
        </w:tc>
      </w:tr>
      <w:tr>
        <w:tc>
          <w:tcPr>
            <w:tcW w:type="dxa" w:w="8929"/>
            <w:gridSpan w:val="6"/>
            <w:tcMar>
              <w:top w:type="dxa" w:w="0"/>
              <w:left w:type="dxa" w:w="0"/>
              <w:bottom w:type="dxa" w:w="0"/>
              <w:right w:type="dxa" w:w="0"/>
            </w:tcMar>
          </w:tcPr>
          <w:p w14:paraId="2D020000">
            <w:pPr>
              <w:widowControl w:val="0"/>
              <w:spacing w:before="0" w:line="240" w:lineRule="auto"/>
              <w:ind w:firstLine="0" w:left="0"/>
              <w:jc w:val="left"/>
            </w:pPr>
            <w:r>
              <w:t>кредитный договор (договор займа) № _____ от «__» __________________ 20__ г.</w:t>
            </w:r>
          </w:p>
        </w:tc>
      </w:tr>
      <w:tr>
        <w:tc>
          <w:tcPr>
            <w:tcW w:type="dxa" w:w="338"/>
            <w:tcMar>
              <w:top w:type="dxa" w:w="0"/>
              <w:left w:type="dxa" w:w="0"/>
              <w:bottom w:type="dxa" w:w="0"/>
              <w:right w:type="dxa" w:w="0"/>
            </w:tcMar>
          </w:tcPr>
          <w:p w14:paraId="2E020000">
            <w:pPr>
              <w:widowControl w:val="0"/>
              <w:spacing w:before="0" w:line="240" w:lineRule="auto"/>
              <w:ind w:firstLine="0" w:left="0"/>
              <w:jc w:val="left"/>
            </w:pPr>
            <w:r>
              <w:t>в</w:t>
            </w:r>
          </w:p>
        </w:tc>
        <w:tc>
          <w:tcPr>
            <w:tcW w:type="dxa" w:w="8591"/>
            <w:gridSpan w:val="5"/>
            <w:tcBorders>
              <w:bottom w:color="000000" w:sz="4" w:val="single"/>
            </w:tcBorders>
            <w:tcMar>
              <w:top w:type="dxa" w:w="0"/>
              <w:left w:type="dxa" w:w="0"/>
              <w:bottom w:type="dxa" w:w="0"/>
              <w:right w:type="dxa" w:w="0"/>
            </w:tcMar>
          </w:tcPr>
          <w:p w14:paraId="2F020000">
            <w:pPr>
              <w:widowControl w:val="0"/>
              <w:spacing w:before="0" w:line="240" w:lineRule="auto"/>
              <w:ind w:firstLine="0" w:left="0"/>
              <w:jc w:val="left"/>
            </w:pPr>
          </w:p>
        </w:tc>
      </w:tr>
      <w:tr>
        <w:tc>
          <w:tcPr>
            <w:tcW w:type="dxa" w:w="338"/>
            <w:tcMar>
              <w:top w:type="dxa" w:w="0"/>
              <w:left w:type="dxa" w:w="0"/>
              <w:bottom w:type="dxa" w:w="0"/>
              <w:right w:type="dxa" w:w="0"/>
            </w:tcMar>
          </w:tcPr>
          <w:p w14:paraId="30020000">
            <w:pPr>
              <w:widowControl w:val="0"/>
              <w:spacing w:before="0" w:line="240" w:lineRule="auto"/>
              <w:ind w:firstLine="0" w:left="0"/>
              <w:jc w:val="left"/>
            </w:pPr>
          </w:p>
        </w:tc>
        <w:tc>
          <w:tcPr>
            <w:tcW w:type="dxa" w:w="8591"/>
            <w:gridSpan w:val="5"/>
            <w:tcBorders>
              <w:top w:color="000000" w:sz="4" w:val="single"/>
            </w:tcBorders>
            <w:tcMar>
              <w:top w:type="dxa" w:w="0"/>
              <w:left w:type="dxa" w:w="0"/>
              <w:bottom w:type="dxa" w:w="0"/>
              <w:right w:type="dxa" w:w="0"/>
            </w:tcMar>
          </w:tcPr>
          <w:p w14:paraId="31020000">
            <w:pPr>
              <w:widowControl w:val="0"/>
              <w:spacing w:before="0" w:line="240" w:lineRule="auto"/>
              <w:ind w:firstLine="0" w:left="0"/>
              <w:jc w:val="center"/>
            </w:pPr>
            <w:r>
              <w:t>(наименование кредитной организации, заимодавец)</w:t>
            </w:r>
          </w:p>
        </w:tc>
      </w:tr>
      <w:tr>
        <w:tc>
          <w:tcPr>
            <w:tcW w:type="dxa" w:w="8929"/>
            <w:gridSpan w:val="6"/>
            <w:tcMar>
              <w:top w:type="dxa" w:w="0"/>
              <w:left w:type="dxa" w:w="0"/>
              <w:bottom w:type="dxa" w:w="0"/>
              <w:right w:type="dxa" w:w="0"/>
            </w:tcMar>
          </w:tcPr>
          <w:p w14:paraId="32020000">
            <w:pPr>
              <w:widowControl w:val="0"/>
              <w:spacing w:before="0" w:line="240" w:lineRule="auto"/>
              <w:ind w:firstLine="283" w:left="0"/>
              <w:jc w:val="both"/>
            </w:pPr>
            <w:r>
              <w:t>1. Тип объекта: объект инфраструктуры/основной объект проекта</w:t>
            </w:r>
          </w:p>
        </w:tc>
      </w:tr>
      <w:tr>
        <w:tc>
          <w:tcPr>
            <w:tcW w:type="dxa" w:w="8929"/>
            <w:gridSpan w:val="6"/>
            <w:tcBorders>
              <w:bottom w:color="000000" w:sz="4" w:val="single"/>
            </w:tcBorders>
            <w:tcMar>
              <w:top w:type="dxa" w:w="0"/>
              <w:left w:type="dxa" w:w="0"/>
              <w:bottom w:type="dxa" w:w="0"/>
              <w:right w:type="dxa" w:w="0"/>
            </w:tcMar>
          </w:tcPr>
          <w:p w14:paraId="33020000">
            <w:pPr>
              <w:widowControl w:val="0"/>
              <w:spacing w:before="0" w:line="240" w:lineRule="auto"/>
              <w:ind w:firstLine="0" w:left="0"/>
              <w:jc w:val="left"/>
            </w:pPr>
          </w:p>
        </w:tc>
      </w:tr>
      <w:tr>
        <w:tc>
          <w:tcPr>
            <w:tcW w:type="dxa" w:w="8929"/>
            <w:gridSpan w:val="6"/>
            <w:tcBorders>
              <w:top w:color="000000" w:sz="4" w:val="single"/>
              <w:bottom w:color="000000" w:sz="4" w:val="single"/>
            </w:tcBorders>
            <w:tcMar>
              <w:top w:type="dxa" w:w="0"/>
              <w:left w:type="dxa" w:w="0"/>
              <w:bottom w:type="dxa" w:w="0"/>
              <w:right w:type="dxa" w:w="0"/>
            </w:tcMar>
          </w:tcPr>
          <w:p w14:paraId="34020000">
            <w:pPr>
              <w:widowControl w:val="0"/>
              <w:spacing w:before="0" w:line="240" w:lineRule="auto"/>
              <w:ind w:firstLine="0" w:left="0"/>
              <w:jc w:val="left"/>
            </w:pPr>
          </w:p>
        </w:tc>
      </w:tr>
      <w:tr>
        <w:tc>
          <w:tcPr>
            <w:tcW w:type="dxa" w:w="8929"/>
            <w:gridSpan w:val="6"/>
            <w:tcBorders>
              <w:top w:color="000000" w:sz="4" w:val="single"/>
            </w:tcBorders>
            <w:tcMar>
              <w:top w:type="dxa" w:w="0"/>
              <w:left w:type="dxa" w:w="0"/>
              <w:bottom w:type="dxa" w:w="0"/>
              <w:right w:type="dxa" w:w="0"/>
            </w:tcMar>
          </w:tcPr>
          <w:p w14:paraId="35020000">
            <w:pPr>
              <w:widowControl w:val="0"/>
              <w:spacing w:before="0" w:line="240" w:lineRule="auto"/>
              <w:ind w:firstLine="283" w:left="0"/>
              <w:jc w:val="both"/>
            </w:pPr>
            <w:r>
              <w:t>2. Тип объекта инфраструктуры: объект обеспечивающей/сопутствующей инфраструктуры (если применимо) ___________________________________________</w:t>
            </w:r>
          </w:p>
        </w:tc>
      </w:tr>
      <w:tr>
        <w:tc>
          <w:tcPr>
            <w:tcW w:type="dxa" w:w="8929"/>
            <w:gridSpan w:val="6"/>
            <w:tcMar>
              <w:top w:type="dxa" w:w="0"/>
              <w:left w:type="dxa" w:w="0"/>
              <w:bottom w:type="dxa" w:w="0"/>
              <w:right w:type="dxa" w:w="0"/>
            </w:tcMar>
          </w:tcPr>
          <w:p w14:paraId="36020000">
            <w:pPr>
              <w:widowControl w:val="0"/>
              <w:spacing w:before="0" w:line="240" w:lineRule="auto"/>
              <w:ind w:firstLine="283" w:left="0"/>
              <w:jc w:val="both"/>
            </w:pPr>
            <w:r>
              <w:t>3. Наименование объекта __________________________________________________</w:t>
            </w:r>
          </w:p>
        </w:tc>
      </w:tr>
      <w:tr>
        <w:tc>
          <w:tcPr>
            <w:tcW w:type="dxa" w:w="8929"/>
            <w:gridSpan w:val="6"/>
            <w:tcMar>
              <w:top w:type="dxa" w:w="0"/>
              <w:left w:type="dxa" w:w="0"/>
              <w:bottom w:type="dxa" w:w="0"/>
              <w:right w:type="dxa" w:w="0"/>
            </w:tcMar>
          </w:tcPr>
          <w:p w14:paraId="37020000">
            <w:pPr>
              <w:widowControl w:val="0"/>
              <w:spacing w:before="0" w:line="240" w:lineRule="auto"/>
              <w:ind w:firstLine="283" w:left="0"/>
              <w:jc w:val="both"/>
            </w:pPr>
            <w:r>
              <w:t>4. Цель предоставления кредита (займа) (в соответствии с кредитным договором (договором займа) __________________________________________________________</w:t>
            </w:r>
          </w:p>
        </w:tc>
      </w:tr>
      <w:tr>
        <w:tc>
          <w:tcPr>
            <w:tcW w:type="dxa" w:w="8929"/>
            <w:gridSpan w:val="6"/>
            <w:tcMar>
              <w:top w:type="dxa" w:w="0"/>
              <w:left w:type="dxa" w:w="0"/>
              <w:bottom w:type="dxa" w:w="0"/>
              <w:right w:type="dxa" w:w="0"/>
            </w:tcMar>
          </w:tcPr>
          <w:p w14:paraId="38020000">
            <w:pPr>
              <w:widowControl w:val="0"/>
              <w:spacing w:before="0" w:line="240" w:lineRule="auto"/>
              <w:ind w:firstLine="283" w:left="0"/>
              <w:jc w:val="both"/>
            </w:pPr>
            <w:r>
              <w:t>5. Дата предоставления кредита (займа) _____________________________________</w:t>
            </w:r>
          </w:p>
        </w:tc>
      </w:tr>
      <w:tr>
        <w:tc>
          <w:tcPr>
            <w:tcW w:type="dxa" w:w="8929"/>
            <w:gridSpan w:val="6"/>
            <w:tcMar>
              <w:top w:type="dxa" w:w="0"/>
              <w:left w:type="dxa" w:w="0"/>
              <w:bottom w:type="dxa" w:w="0"/>
              <w:right w:type="dxa" w:w="0"/>
            </w:tcMar>
            <w:vAlign w:val="bottom"/>
          </w:tcPr>
          <w:p w14:paraId="39020000">
            <w:pPr>
              <w:widowControl w:val="0"/>
              <w:spacing w:before="0" w:line="240" w:lineRule="auto"/>
              <w:ind w:firstLine="283" w:left="0"/>
              <w:jc w:val="both"/>
            </w:pPr>
            <w:r>
              <w:t>6. Срок погашения кредита (займа) по кредитному договору (договору займа) __________________________________________________________________________</w:t>
            </w:r>
          </w:p>
        </w:tc>
      </w:tr>
      <w:tr>
        <w:tc>
          <w:tcPr>
            <w:tcW w:type="dxa" w:w="8929"/>
            <w:gridSpan w:val="6"/>
            <w:tcMar>
              <w:top w:type="dxa" w:w="0"/>
              <w:left w:type="dxa" w:w="0"/>
              <w:bottom w:type="dxa" w:w="0"/>
              <w:right w:type="dxa" w:w="0"/>
            </w:tcMar>
          </w:tcPr>
          <w:p w14:paraId="3A020000">
            <w:pPr>
              <w:widowControl w:val="0"/>
              <w:spacing w:before="0" w:line="240" w:lineRule="auto"/>
              <w:ind w:firstLine="283" w:left="0"/>
              <w:jc w:val="both"/>
            </w:pPr>
            <w:r>
              <w:t>7. Сумма полученного кредита (займа) ______________________________________</w:t>
            </w:r>
          </w:p>
        </w:tc>
      </w:tr>
    </w:tbl>
    <w:p w14:paraId="3B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707"/>
        <w:gridCol w:w="669"/>
        <w:gridCol w:w="782"/>
        <w:gridCol w:w="521"/>
        <w:gridCol w:w="1041"/>
        <w:gridCol w:w="1860"/>
        <w:gridCol w:w="1897"/>
        <w:gridCol w:w="1451"/>
      </w:tblGrid>
      <w:tr>
        <w:tc>
          <w:tcPr>
            <w:tcW w:type="dxa" w:w="707"/>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3C020000">
            <w:pPr>
              <w:widowControl w:val="0"/>
              <w:spacing w:before="0" w:line="240" w:lineRule="auto"/>
              <w:ind w:firstLine="0" w:left="0"/>
              <w:jc w:val="center"/>
            </w:pPr>
            <w:r>
              <w:t>Фактическая дата уплаты процентов по кредиту (займу)</w:t>
            </w:r>
          </w:p>
        </w:tc>
        <w:tc>
          <w:tcPr>
            <w:tcW w:type="dxa" w:w="669"/>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3D020000">
            <w:pPr>
              <w:widowControl w:val="0"/>
              <w:spacing w:before="0" w:line="240" w:lineRule="auto"/>
              <w:ind w:firstLine="0" w:left="0"/>
              <w:jc w:val="center"/>
            </w:pPr>
            <w:r>
              <w:t>Остаток ссудной задолженности на конец расчетного периода, рублей &lt;11&gt;</w:t>
            </w:r>
          </w:p>
        </w:tc>
        <w:tc>
          <w:tcPr>
            <w:tcW w:type="dxa" w:w="782"/>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3E020000">
            <w:pPr>
              <w:widowControl w:val="0"/>
              <w:spacing w:before="0" w:line="240" w:lineRule="auto"/>
              <w:ind w:firstLine="0" w:left="0"/>
              <w:jc w:val="center"/>
            </w:pPr>
            <w:r>
              <w:t>Количество дней пользования кредитом (займом) в расчетный период &lt;12&gt;</w:t>
            </w:r>
          </w:p>
        </w:tc>
        <w:tc>
          <w:tcPr>
            <w:tcW w:type="dxa" w:w="521"/>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3F020000">
            <w:pPr>
              <w:widowControl w:val="0"/>
              <w:spacing w:before="0" w:line="240" w:lineRule="auto"/>
              <w:ind w:firstLine="0" w:left="0"/>
              <w:jc w:val="center"/>
            </w:pPr>
            <w:r>
              <w:t>Процентная ставка по кредиту (займу)</w:t>
            </w:r>
          </w:p>
        </w:tc>
        <w:tc>
          <w:tcPr>
            <w:tcW w:type="dxa" w:w="1041"/>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40020000">
            <w:pPr>
              <w:widowControl w:val="0"/>
              <w:spacing w:before="0" w:line="240" w:lineRule="auto"/>
              <w:ind w:firstLine="0" w:left="0"/>
              <w:jc w:val="center"/>
            </w:pPr>
            <w:r>
              <w:t>Ключевая ставка Центрального банка Российской Федерации на дату уплаты процентов по кредиту (займу)</w:t>
            </w:r>
          </w:p>
        </w:tc>
        <w:tc>
          <w:tcPr>
            <w:tcW w:type="dxa" w:w="1860"/>
            <w:tcBorders>
              <w:top w:color="000000" w:sz="4" w:val="single"/>
              <w:left w:color="000000" w:sz="4" w:val="single"/>
              <w:right w:color="000000" w:sz="4" w:val="single"/>
            </w:tcBorders>
            <w:tcMar>
              <w:top w:type="dxa" w:w="0"/>
              <w:left w:type="dxa" w:w="0"/>
              <w:bottom w:type="dxa" w:w="0"/>
              <w:right w:type="dxa" w:w="0"/>
            </w:tcMar>
          </w:tcPr>
          <w:p w14:paraId="41020000">
            <w:pPr>
              <w:widowControl w:val="0"/>
              <w:spacing w:before="0" w:line="240" w:lineRule="auto"/>
              <w:ind w:firstLine="0" w:left="0"/>
              <w:jc w:val="center"/>
            </w:pPr>
            <w:r>
              <w:t>Объем затрат (рублей)</w:t>
            </w:r>
          </w:p>
        </w:tc>
        <w:tc>
          <w:tcPr>
            <w:tcW w:type="dxa" w:w="1897"/>
            <w:vMerge w:val="restart"/>
            <w:tcBorders>
              <w:top w:color="000000" w:sz="4" w:val="single"/>
              <w:left w:color="000000" w:sz="4" w:val="single"/>
              <w:right w:color="000000" w:sz="4" w:val="single"/>
            </w:tcBorders>
            <w:tcMar>
              <w:top w:type="dxa" w:w="0"/>
              <w:left w:type="dxa" w:w="0"/>
              <w:bottom w:type="dxa" w:w="0"/>
              <w:right w:type="dxa" w:w="0"/>
            </w:tcMar>
          </w:tcPr>
          <w:p w14:paraId="42020000">
            <w:pPr>
              <w:widowControl w:val="0"/>
              <w:spacing w:before="0" w:line="240" w:lineRule="auto"/>
              <w:ind w:firstLine="0" w:left="0"/>
              <w:jc w:val="center"/>
            </w:pPr>
            <w:r>
              <w:t>Расчетный объем затрат (рублей)</w:t>
            </w:r>
          </w:p>
        </w:tc>
        <w:tc>
          <w:tcPr>
            <w:tcW w:type="dxa" w:w="1451"/>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43020000">
            <w:pPr>
              <w:widowControl w:val="0"/>
              <w:spacing w:before="0" w:line="240" w:lineRule="auto"/>
              <w:ind w:firstLine="0" w:left="0"/>
              <w:jc w:val="center"/>
            </w:pPr>
            <w:r>
              <w:t>Объем фактически понесенных затрат на уплату процентов по кредитам и займам (минимальное значение из величин, указанных в гр. 6 и 7), рублей</w:t>
            </w:r>
          </w:p>
        </w:tc>
      </w:tr>
      <w:tr>
        <w:tc>
          <w:tcPr>
            <w:tcW w:type="dxa" w:w="707"/>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669"/>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782"/>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521"/>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1041"/>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1860"/>
            <w:vMerge w:val="restart"/>
            <w:tcBorders>
              <w:left w:color="000000" w:sz="4" w:val="single"/>
              <w:bottom w:color="000000" w:sz="4" w:val="single"/>
              <w:right w:color="000000" w:sz="4" w:val="single"/>
            </w:tcBorders>
            <w:tcMar>
              <w:top w:type="dxa" w:w="0"/>
              <w:left w:type="dxa" w:w="0"/>
              <w:bottom w:type="dxa" w:w="0"/>
              <w:right w:type="dxa" w:w="0"/>
            </w:tcMar>
          </w:tcPr>
          <w:p w14:paraId="44020000">
            <w:pPr>
              <w:widowControl w:val="0"/>
              <w:spacing w:before="0" w:line="240" w:lineRule="auto"/>
              <w:ind w:firstLine="0" w:left="0"/>
              <w:jc w:val="center"/>
            </w:pPr>
            <w:r>
              <w:drawing>
                <wp:inline>
                  <wp:extent cx="1181100" cy="314960"/>
                  <wp:effectExtent b="0" l="0" r="0" t="0"/>
                  <wp:docPr hidden="false" id="18" name="Picture 18"/>
                  <a:graphic>
                    <a:graphicData uri="http://schemas.openxmlformats.org/drawingml/2006/picture">
                      <pic:pic>
                        <pic:nvPicPr>
                          <pic:cNvPr hidden="false" id="17" name="Picture 17"/>
                          <pic:cNvPicPr preferRelativeResize="true"/>
                        </pic:nvPicPr>
                        <pic:blipFill>
                          <a:blip r:embed="rId10"/>
                          <a:stretch/>
                        </pic:blipFill>
                        <pic:spPr>
                          <a:xfrm flipH="false" flipV="false" rot="0">
                            <a:ext cx="1181100" cy="314960"/>
                          </a:xfrm>
                          <a:prstGeom prst="rect"/>
                        </pic:spPr>
                      </pic:pic>
                    </a:graphicData>
                  </a:graphic>
                </wp:inline>
              </w:drawing>
            </w:r>
          </w:p>
        </w:tc>
        <w:tc>
          <w:tcPr>
            <w:tcW w:type="dxa" w:w="1897"/>
            <w:gridSpan w:val="1"/>
            <w:vMerge w:val="continue"/>
            <w:tcBorders>
              <w:top w:color="000000" w:sz="4" w:val="single"/>
              <w:left w:color="000000" w:sz="4" w:val="single"/>
              <w:right w:color="000000" w:sz="4" w:val="single"/>
            </w:tcBorders>
            <w:tcMar>
              <w:top w:type="dxa" w:w="0"/>
              <w:left w:type="dxa" w:w="0"/>
              <w:bottom w:type="dxa" w:w="0"/>
              <w:right w:type="dxa" w:w="0"/>
            </w:tcMar>
          </w:tcPr>
          <w:p/>
        </w:tc>
        <w:tc>
          <w:tcPr>
            <w:tcW w:type="dxa" w:w="1451"/>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r>
      <w:tr>
        <w:tc>
          <w:tcPr>
            <w:tcW w:type="dxa" w:w="707"/>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669"/>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782"/>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521"/>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1041"/>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1860"/>
            <w:gridSpan w:val="1"/>
            <w:vMerge w:val="continue"/>
            <w:tcBorders>
              <w:left w:color="000000" w:sz="4" w:val="single"/>
              <w:bottom w:color="000000" w:sz="4" w:val="single"/>
              <w:right w:color="000000" w:sz="4" w:val="single"/>
            </w:tcBorders>
            <w:tcMar>
              <w:top w:type="dxa" w:w="0"/>
              <w:left w:type="dxa" w:w="0"/>
              <w:bottom w:type="dxa" w:w="0"/>
              <w:right w:type="dxa" w:w="0"/>
            </w:tcMar>
          </w:tcPr>
          <w:p/>
        </w:tc>
        <w:tc>
          <w:tcPr>
            <w:tcW w:type="dxa" w:w="1897"/>
            <w:tcBorders>
              <w:left w:color="000000" w:sz="4" w:val="single"/>
              <w:bottom w:color="000000" w:sz="4" w:val="single"/>
              <w:right w:color="000000" w:sz="4" w:val="single"/>
            </w:tcBorders>
            <w:tcMar>
              <w:top w:type="dxa" w:w="0"/>
              <w:left w:type="dxa" w:w="0"/>
              <w:bottom w:type="dxa" w:w="0"/>
              <w:right w:type="dxa" w:w="0"/>
            </w:tcMar>
          </w:tcPr>
          <w:p w14:paraId="45020000">
            <w:pPr>
              <w:widowControl w:val="0"/>
              <w:spacing w:before="0" w:line="240" w:lineRule="auto"/>
              <w:ind w:firstLine="0" w:left="0"/>
              <w:jc w:val="center"/>
            </w:pPr>
            <w:r>
              <w:drawing>
                <wp:inline>
                  <wp:extent cx="1204595" cy="272864"/>
                  <wp:effectExtent b="0" l="0" r="0" t="0"/>
                  <wp:docPr hidden="false" id="20" name="Picture 20"/>
                  <a:graphic>
                    <a:graphicData uri="http://schemas.openxmlformats.org/drawingml/2006/picture">
                      <pic:pic>
                        <pic:nvPicPr>
                          <pic:cNvPr hidden="false" id="19" name="Picture 19"/>
                          <pic:cNvPicPr preferRelativeResize="true"/>
                        </pic:nvPicPr>
                        <pic:blipFill>
                          <a:blip r:embed="rId11"/>
                          <a:stretch/>
                        </pic:blipFill>
                        <pic:spPr>
                          <a:xfrm flipH="false" flipV="false" rot="0">
                            <a:ext cx="1204595" cy="272864"/>
                          </a:xfrm>
                          <a:prstGeom prst="rect"/>
                        </pic:spPr>
                      </pic:pic>
                    </a:graphicData>
                  </a:graphic>
                </wp:inline>
              </w:drawing>
            </w:r>
          </w:p>
        </w:tc>
        <w:tc>
          <w:tcPr>
            <w:tcW w:type="dxa" w:w="1451"/>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r>
      <w:tr>
        <w:tc>
          <w:tcPr>
            <w:tcW w:type="dxa" w:w="707"/>
            <w:tcBorders>
              <w:top w:color="000000" w:sz="4" w:val="single"/>
              <w:left w:color="000000" w:sz="4" w:val="single"/>
              <w:bottom w:color="000000" w:sz="4" w:val="single"/>
              <w:right w:color="000000" w:sz="4" w:val="single"/>
            </w:tcBorders>
            <w:tcMar>
              <w:top w:type="dxa" w:w="0"/>
              <w:left w:type="dxa" w:w="0"/>
              <w:bottom w:type="dxa" w:w="0"/>
              <w:right w:type="dxa" w:w="0"/>
            </w:tcMar>
          </w:tcPr>
          <w:p w14:paraId="46020000">
            <w:pPr>
              <w:widowControl w:val="0"/>
              <w:spacing w:before="0" w:line="240" w:lineRule="auto"/>
              <w:ind w:firstLine="0" w:left="0"/>
              <w:jc w:val="center"/>
            </w:pPr>
            <w:r>
              <w:t>1</w:t>
            </w:r>
          </w:p>
        </w:tc>
        <w:tc>
          <w:tcPr>
            <w:tcW w:type="dxa" w:w="669"/>
            <w:tcBorders>
              <w:top w:color="000000" w:sz="4" w:val="single"/>
              <w:left w:color="000000" w:sz="4" w:val="single"/>
              <w:bottom w:color="000000" w:sz="4" w:val="single"/>
              <w:right w:color="000000" w:sz="4" w:val="single"/>
            </w:tcBorders>
            <w:tcMar>
              <w:top w:type="dxa" w:w="0"/>
              <w:left w:type="dxa" w:w="0"/>
              <w:bottom w:type="dxa" w:w="0"/>
              <w:right w:type="dxa" w:w="0"/>
            </w:tcMar>
          </w:tcPr>
          <w:p w14:paraId="47020000">
            <w:pPr>
              <w:widowControl w:val="0"/>
              <w:spacing w:before="0" w:line="240" w:lineRule="auto"/>
              <w:ind w:firstLine="0" w:left="0"/>
              <w:jc w:val="center"/>
            </w:pPr>
            <w:r>
              <w:t>2</w:t>
            </w:r>
          </w:p>
        </w:tc>
        <w:tc>
          <w:tcPr>
            <w:tcW w:type="dxa" w:w="782"/>
            <w:tcBorders>
              <w:top w:color="000000" w:sz="4" w:val="single"/>
              <w:left w:color="000000" w:sz="4" w:val="single"/>
              <w:bottom w:color="000000" w:sz="4" w:val="single"/>
              <w:right w:color="000000" w:sz="4" w:val="single"/>
            </w:tcBorders>
            <w:tcMar>
              <w:top w:type="dxa" w:w="0"/>
              <w:left w:type="dxa" w:w="0"/>
              <w:bottom w:type="dxa" w:w="0"/>
              <w:right w:type="dxa" w:w="0"/>
            </w:tcMar>
          </w:tcPr>
          <w:p w14:paraId="48020000">
            <w:pPr>
              <w:widowControl w:val="0"/>
              <w:spacing w:before="0" w:line="240" w:lineRule="auto"/>
              <w:ind w:firstLine="0" w:left="0"/>
              <w:jc w:val="center"/>
            </w:pPr>
            <w:r>
              <w:t>3</w:t>
            </w:r>
          </w:p>
        </w:tc>
        <w:tc>
          <w:tcPr>
            <w:tcW w:type="dxa" w:w="521"/>
            <w:tcBorders>
              <w:top w:color="000000" w:sz="4" w:val="single"/>
              <w:left w:color="000000" w:sz="4" w:val="single"/>
              <w:bottom w:color="000000" w:sz="4" w:val="single"/>
              <w:right w:color="000000" w:sz="4" w:val="single"/>
            </w:tcBorders>
            <w:tcMar>
              <w:top w:type="dxa" w:w="0"/>
              <w:left w:type="dxa" w:w="0"/>
              <w:bottom w:type="dxa" w:w="0"/>
              <w:right w:type="dxa" w:w="0"/>
            </w:tcMar>
          </w:tcPr>
          <w:p w14:paraId="49020000">
            <w:pPr>
              <w:widowControl w:val="0"/>
              <w:spacing w:before="0" w:line="240" w:lineRule="auto"/>
              <w:ind w:firstLine="0" w:left="0"/>
              <w:jc w:val="center"/>
            </w:pPr>
            <w:r>
              <w:t>4</w:t>
            </w:r>
          </w:p>
        </w:tc>
        <w:tc>
          <w:tcPr>
            <w:tcW w:type="dxa" w:w="1041"/>
            <w:tcBorders>
              <w:top w:color="000000" w:sz="4" w:val="single"/>
              <w:left w:color="000000" w:sz="4" w:val="single"/>
              <w:bottom w:color="000000" w:sz="4" w:val="single"/>
              <w:right w:color="000000" w:sz="4" w:val="single"/>
            </w:tcBorders>
            <w:tcMar>
              <w:top w:type="dxa" w:w="0"/>
              <w:left w:type="dxa" w:w="0"/>
              <w:bottom w:type="dxa" w:w="0"/>
              <w:right w:type="dxa" w:w="0"/>
            </w:tcMar>
          </w:tcPr>
          <w:p w14:paraId="4A020000">
            <w:pPr>
              <w:widowControl w:val="0"/>
              <w:spacing w:before="0" w:line="240" w:lineRule="auto"/>
              <w:ind w:firstLine="0" w:left="0"/>
              <w:jc w:val="center"/>
            </w:pPr>
            <w:r>
              <w:t>5</w:t>
            </w:r>
          </w:p>
        </w:tc>
        <w:tc>
          <w:tcPr>
            <w:tcW w:type="dxa" w:w="1860"/>
            <w:tcBorders>
              <w:top w:color="000000" w:sz="4" w:val="single"/>
              <w:left w:color="000000" w:sz="4" w:val="single"/>
              <w:bottom w:color="000000" w:sz="4" w:val="single"/>
              <w:right w:color="000000" w:sz="4" w:val="single"/>
            </w:tcBorders>
            <w:tcMar>
              <w:top w:type="dxa" w:w="0"/>
              <w:left w:type="dxa" w:w="0"/>
              <w:bottom w:type="dxa" w:w="0"/>
              <w:right w:type="dxa" w:w="0"/>
            </w:tcMar>
          </w:tcPr>
          <w:p w14:paraId="4B020000">
            <w:pPr>
              <w:widowControl w:val="0"/>
              <w:spacing w:before="0" w:line="240" w:lineRule="auto"/>
              <w:ind w:firstLine="0" w:left="0"/>
              <w:jc w:val="center"/>
            </w:pPr>
            <w:r>
              <w:t>6</w:t>
            </w:r>
          </w:p>
        </w:tc>
        <w:tc>
          <w:tcPr>
            <w:tcW w:type="dxa" w:w="1897"/>
            <w:tcBorders>
              <w:top w:color="000000" w:sz="4" w:val="single"/>
              <w:left w:color="000000" w:sz="4" w:val="single"/>
              <w:bottom w:color="000000" w:sz="4" w:val="single"/>
              <w:right w:color="000000" w:sz="4" w:val="single"/>
            </w:tcBorders>
            <w:tcMar>
              <w:top w:type="dxa" w:w="0"/>
              <w:left w:type="dxa" w:w="0"/>
              <w:bottom w:type="dxa" w:w="0"/>
              <w:right w:type="dxa" w:w="0"/>
            </w:tcMar>
          </w:tcPr>
          <w:p w14:paraId="4C020000">
            <w:pPr>
              <w:widowControl w:val="0"/>
              <w:spacing w:before="0" w:line="240" w:lineRule="auto"/>
              <w:ind w:firstLine="0" w:left="0"/>
              <w:jc w:val="center"/>
            </w:pPr>
            <w:r>
              <w:t>7</w:t>
            </w:r>
          </w:p>
        </w:tc>
        <w:tc>
          <w:tcPr>
            <w:tcW w:type="dxa" w:w="1451"/>
            <w:tcBorders>
              <w:top w:color="000000" w:sz="4" w:val="single"/>
              <w:left w:color="000000" w:sz="4" w:val="single"/>
              <w:bottom w:color="000000" w:sz="4" w:val="single"/>
              <w:right w:color="000000" w:sz="4" w:val="single"/>
            </w:tcBorders>
            <w:tcMar>
              <w:top w:type="dxa" w:w="0"/>
              <w:left w:type="dxa" w:w="0"/>
              <w:bottom w:type="dxa" w:w="0"/>
              <w:right w:type="dxa" w:w="0"/>
            </w:tcMar>
          </w:tcPr>
          <w:p w14:paraId="4D020000">
            <w:pPr>
              <w:widowControl w:val="0"/>
              <w:spacing w:before="0" w:line="240" w:lineRule="auto"/>
              <w:ind w:firstLine="0" w:left="0"/>
              <w:jc w:val="center"/>
            </w:pPr>
            <w:r>
              <w:t>8</w:t>
            </w:r>
          </w:p>
        </w:tc>
      </w:tr>
      <w:tr>
        <w:tc>
          <w:tcPr>
            <w:tcW w:type="dxa" w:w="707"/>
            <w:tcBorders>
              <w:top w:color="000000" w:sz="4" w:val="single"/>
              <w:left w:color="000000" w:sz="4" w:val="single"/>
              <w:bottom w:color="000000" w:sz="4" w:val="single"/>
              <w:right w:color="000000" w:sz="4" w:val="single"/>
            </w:tcBorders>
            <w:tcMar>
              <w:top w:type="dxa" w:w="0"/>
              <w:left w:type="dxa" w:w="0"/>
              <w:bottom w:type="dxa" w:w="0"/>
              <w:right w:type="dxa" w:w="0"/>
            </w:tcMar>
          </w:tcPr>
          <w:p w14:paraId="4E020000">
            <w:pPr>
              <w:widowControl w:val="0"/>
              <w:spacing w:before="0" w:line="240" w:lineRule="auto"/>
              <w:ind w:firstLine="0" w:left="0"/>
              <w:jc w:val="left"/>
            </w:pPr>
          </w:p>
        </w:tc>
        <w:tc>
          <w:tcPr>
            <w:tcW w:type="dxa" w:w="669"/>
            <w:tcBorders>
              <w:top w:color="000000" w:sz="4" w:val="single"/>
              <w:left w:color="000000" w:sz="4" w:val="single"/>
              <w:bottom w:color="000000" w:sz="4" w:val="single"/>
              <w:right w:color="000000" w:sz="4" w:val="single"/>
            </w:tcBorders>
            <w:tcMar>
              <w:top w:type="dxa" w:w="0"/>
              <w:left w:type="dxa" w:w="0"/>
              <w:bottom w:type="dxa" w:w="0"/>
              <w:right w:type="dxa" w:w="0"/>
            </w:tcMar>
          </w:tcPr>
          <w:p w14:paraId="4F020000">
            <w:pPr>
              <w:widowControl w:val="0"/>
              <w:spacing w:before="0" w:line="240" w:lineRule="auto"/>
              <w:ind w:firstLine="0" w:left="0"/>
              <w:jc w:val="left"/>
            </w:pPr>
          </w:p>
        </w:tc>
        <w:tc>
          <w:tcPr>
            <w:tcW w:type="dxa" w:w="782"/>
            <w:tcBorders>
              <w:top w:color="000000" w:sz="4" w:val="single"/>
              <w:left w:color="000000" w:sz="4" w:val="single"/>
              <w:bottom w:color="000000" w:sz="4" w:val="single"/>
              <w:right w:color="000000" w:sz="4" w:val="single"/>
            </w:tcBorders>
            <w:tcMar>
              <w:top w:type="dxa" w:w="0"/>
              <w:left w:type="dxa" w:w="0"/>
              <w:bottom w:type="dxa" w:w="0"/>
              <w:right w:type="dxa" w:w="0"/>
            </w:tcMar>
          </w:tcPr>
          <w:p w14:paraId="50020000">
            <w:pPr>
              <w:widowControl w:val="0"/>
              <w:spacing w:before="0" w:line="240" w:lineRule="auto"/>
              <w:ind w:firstLine="0" w:left="0"/>
              <w:jc w:val="left"/>
            </w:pPr>
          </w:p>
        </w:tc>
        <w:tc>
          <w:tcPr>
            <w:tcW w:type="dxa" w:w="521"/>
            <w:tcBorders>
              <w:top w:color="000000" w:sz="4" w:val="single"/>
              <w:left w:color="000000" w:sz="4" w:val="single"/>
              <w:bottom w:color="000000" w:sz="4" w:val="single"/>
              <w:right w:color="000000" w:sz="4" w:val="single"/>
            </w:tcBorders>
            <w:tcMar>
              <w:top w:type="dxa" w:w="0"/>
              <w:left w:type="dxa" w:w="0"/>
              <w:bottom w:type="dxa" w:w="0"/>
              <w:right w:type="dxa" w:w="0"/>
            </w:tcMar>
          </w:tcPr>
          <w:p w14:paraId="51020000">
            <w:pPr>
              <w:widowControl w:val="0"/>
              <w:spacing w:before="0" w:line="240" w:lineRule="auto"/>
              <w:ind w:firstLine="0" w:left="0"/>
              <w:jc w:val="left"/>
            </w:pPr>
          </w:p>
        </w:tc>
        <w:tc>
          <w:tcPr>
            <w:tcW w:type="dxa" w:w="1041"/>
            <w:tcBorders>
              <w:top w:color="000000" w:sz="4" w:val="single"/>
              <w:left w:color="000000" w:sz="4" w:val="single"/>
              <w:bottom w:color="000000" w:sz="4" w:val="single"/>
              <w:right w:color="000000" w:sz="4" w:val="single"/>
            </w:tcBorders>
            <w:tcMar>
              <w:top w:type="dxa" w:w="0"/>
              <w:left w:type="dxa" w:w="0"/>
              <w:bottom w:type="dxa" w:w="0"/>
              <w:right w:type="dxa" w:w="0"/>
            </w:tcMar>
          </w:tcPr>
          <w:p w14:paraId="52020000">
            <w:pPr>
              <w:widowControl w:val="0"/>
              <w:spacing w:before="0" w:line="240" w:lineRule="auto"/>
              <w:ind w:firstLine="0" w:left="0"/>
              <w:jc w:val="left"/>
            </w:pPr>
          </w:p>
        </w:tc>
        <w:tc>
          <w:tcPr>
            <w:tcW w:type="dxa" w:w="1860"/>
            <w:tcBorders>
              <w:top w:color="000000" w:sz="4" w:val="single"/>
              <w:left w:color="000000" w:sz="4" w:val="single"/>
              <w:bottom w:color="000000" w:sz="4" w:val="single"/>
              <w:right w:color="000000" w:sz="4" w:val="single"/>
            </w:tcBorders>
            <w:tcMar>
              <w:top w:type="dxa" w:w="0"/>
              <w:left w:type="dxa" w:w="0"/>
              <w:bottom w:type="dxa" w:w="0"/>
              <w:right w:type="dxa" w:w="0"/>
            </w:tcMar>
          </w:tcPr>
          <w:p w14:paraId="53020000">
            <w:pPr>
              <w:widowControl w:val="0"/>
              <w:spacing w:before="0" w:line="240" w:lineRule="auto"/>
              <w:ind w:firstLine="0" w:left="0"/>
              <w:jc w:val="left"/>
            </w:pPr>
          </w:p>
        </w:tc>
        <w:tc>
          <w:tcPr>
            <w:tcW w:type="dxa" w:w="1897"/>
            <w:tcBorders>
              <w:top w:color="000000" w:sz="4" w:val="single"/>
              <w:left w:color="000000" w:sz="4" w:val="single"/>
              <w:bottom w:color="000000" w:sz="4" w:val="single"/>
              <w:right w:color="000000" w:sz="4" w:val="single"/>
            </w:tcBorders>
            <w:tcMar>
              <w:top w:type="dxa" w:w="0"/>
              <w:left w:type="dxa" w:w="0"/>
              <w:bottom w:type="dxa" w:w="0"/>
              <w:right w:type="dxa" w:w="0"/>
            </w:tcMar>
          </w:tcPr>
          <w:p w14:paraId="54020000">
            <w:pPr>
              <w:widowControl w:val="0"/>
              <w:spacing w:before="0" w:line="240" w:lineRule="auto"/>
              <w:ind w:firstLine="0" w:left="0"/>
              <w:jc w:val="left"/>
            </w:pPr>
          </w:p>
        </w:tc>
        <w:tc>
          <w:tcPr>
            <w:tcW w:type="dxa" w:w="1451"/>
            <w:tcBorders>
              <w:top w:color="000000" w:sz="4" w:val="single"/>
              <w:left w:color="000000" w:sz="4" w:val="single"/>
              <w:bottom w:color="000000" w:sz="4" w:val="single"/>
              <w:right w:color="000000" w:sz="4" w:val="single"/>
            </w:tcBorders>
            <w:tcMar>
              <w:top w:type="dxa" w:w="0"/>
              <w:left w:type="dxa" w:w="0"/>
              <w:bottom w:type="dxa" w:w="0"/>
              <w:right w:type="dxa" w:w="0"/>
            </w:tcMar>
          </w:tcPr>
          <w:p w14:paraId="55020000">
            <w:pPr>
              <w:widowControl w:val="0"/>
              <w:spacing w:before="0" w:line="240" w:lineRule="auto"/>
              <w:ind w:firstLine="0" w:left="0"/>
              <w:jc w:val="left"/>
            </w:pPr>
          </w:p>
        </w:tc>
      </w:tr>
    </w:tbl>
    <w:p w14:paraId="56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8929"/>
      </w:tblGrid>
      <w:tr>
        <w:tc>
          <w:tcPr>
            <w:tcW w:type="dxa" w:w="8929"/>
            <w:tcMar>
              <w:top w:type="dxa" w:w="0"/>
              <w:left w:type="dxa" w:w="0"/>
              <w:bottom w:type="dxa" w:w="0"/>
              <w:right w:type="dxa" w:w="0"/>
            </w:tcMar>
          </w:tcPr>
          <w:p w14:paraId="57020000">
            <w:pPr>
              <w:widowControl w:val="0"/>
              <w:spacing w:before="0" w:line="240" w:lineRule="auto"/>
              <w:ind w:firstLine="283" w:left="0"/>
              <w:jc w:val="both"/>
            </w:pPr>
            <w:r>
              <w:t>Объем фактически понесенных затрат &lt;13&gt;: _____________________ рублей (сумма показателей графы 8)</w:t>
            </w:r>
          </w:p>
        </w:tc>
      </w:tr>
    </w:tbl>
    <w:p w14:paraId="58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3013"/>
        <w:gridCol w:w="1953"/>
        <w:gridCol w:w="335"/>
        <w:gridCol w:w="3628"/>
      </w:tblGrid>
      <w:tr>
        <w:tc>
          <w:tcPr>
            <w:tcW w:type="dxa" w:w="3013"/>
            <w:tcMar>
              <w:top w:type="dxa" w:w="0"/>
              <w:left w:type="dxa" w:w="0"/>
              <w:bottom w:type="dxa" w:w="0"/>
              <w:right w:type="dxa" w:w="0"/>
            </w:tcMar>
            <w:vAlign w:val="bottom"/>
          </w:tcPr>
          <w:p w14:paraId="59020000">
            <w:pPr>
              <w:widowControl w:val="0"/>
              <w:spacing w:before="0" w:line="240" w:lineRule="auto"/>
              <w:ind w:firstLine="0" w:left="0"/>
              <w:jc w:val="left"/>
            </w:pPr>
            <w:r>
              <w:t>Руководитель организации</w:t>
            </w:r>
          </w:p>
        </w:tc>
        <w:tc>
          <w:tcPr>
            <w:tcW w:type="dxa" w:w="1953"/>
            <w:tcBorders>
              <w:bottom w:color="000000" w:sz="4" w:val="single"/>
            </w:tcBorders>
            <w:tcMar>
              <w:top w:type="dxa" w:w="0"/>
              <w:left w:type="dxa" w:w="0"/>
              <w:bottom w:type="dxa" w:w="0"/>
              <w:right w:type="dxa" w:w="0"/>
            </w:tcMar>
          </w:tcPr>
          <w:p w14:paraId="5A020000">
            <w:pPr>
              <w:widowControl w:val="0"/>
              <w:spacing w:before="0" w:line="240" w:lineRule="auto"/>
              <w:ind w:firstLine="0" w:left="0"/>
              <w:jc w:val="left"/>
            </w:pPr>
          </w:p>
        </w:tc>
        <w:tc>
          <w:tcPr>
            <w:tcW w:type="dxa" w:w="335"/>
            <w:tcMar>
              <w:top w:type="dxa" w:w="0"/>
              <w:left w:type="dxa" w:w="0"/>
              <w:bottom w:type="dxa" w:w="0"/>
              <w:right w:type="dxa" w:w="0"/>
            </w:tcMar>
          </w:tcPr>
          <w:p w14:paraId="5B020000">
            <w:pPr>
              <w:widowControl w:val="0"/>
              <w:spacing w:before="0" w:line="240" w:lineRule="auto"/>
              <w:ind w:firstLine="0" w:left="0"/>
              <w:jc w:val="left"/>
            </w:pPr>
          </w:p>
        </w:tc>
        <w:tc>
          <w:tcPr>
            <w:tcW w:type="dxa" w:w="3628"/>
            <w:tcBorders>
              <w:bottom w:color="000000" w:sz="4" w:val="single"/>
            </w:tcBorders>
            <w:tcMar>
              <w:top w:type="dxa" w:w="0"/>
              <w:left w:type="dxa" w:w="0"/>
              <w:bottom w:type="dxa" w:w="0"/>
              <w:right w:type="dxa" w:w="0"/>
            </w:tcMar>
          </w:tcPr>
          <w:p w14:paraId="5C020000">
            <w:pPr>
              <w:widowControl w:val="0"/>
              <w:spacing w:before="0" w:line="240" w:lineRule="auto"/>
              <w:ind w:firstLine="0" w:left="0"/>
              <w:jc w:val="left"/>
            </w:pPr>
          </w:p>
        </w:tc>
      </w:tr>
      <w:tr>
        <w:tc>
          <w:tcPr>
            <w:tcW w:type="dxa" w:w="3013"/>
            <w:tcMar>
              <w:top w:type="dxa" w:w="0"/>
              <w:left w:type="dxa" w:w="0"/>
              <w:bottom w:type="dxa" w:w="0"/>
              <w:right w:type="dxa" w:w="0"/>
            </w:tcMar>
          </w:tcPr>
          <w:p w14:paraId="5D020000">
            <w:pPr>
              <w:widowControl w:val="0"/>
              <w:spacing w:before="0" w:line="240" w:lineRule="auto"/>
              <w:ind w:firstLine="0" w:left="0"/>
              <w:jc w:val="left"/>
            </w:pPr>
          </w:p>
        </w:tc>
        <w:tc>
          <w:tcPr>
            <w:tcW w:type="dxa" w:w="1953"/>
            <w:tcBorders>
              <w:top w:color="000000" w:sz="4" w:val="single"/>
            </w:tcBorders>
            <w:tcMar>
              <w:top w:type="dxa" w:w="0"/>
              <w:left w:type="dxa" w:w="0"/>
              <w:bottom w:type="dxa" w:w="0"/>
              <w:right w:type="dxa" w:w="0"/>
            </w:tcMar>
          </w:tcPr>
          <w:p w14:paraId="5E020000">
            <w:pPr>
              <w:widowControl w:val="0"/>
              <w:spacing w:before="0" w:line="240" w:lineRule="auto"/>
              <w:ind w:firstLine="0" w:left="0"/>
              <w:jc w:val="center"/>
            </w:pPr>
            <w:r>
              <w:t>(подпись)</w:t>
            </w:r>
          </w:p>
        </w:tc>
        <w:tc>
          <w:tcPr>
            <w:tcW w:type="dxa" w:w="335"/>
            <w:tcMar>
              <w:top w:type="dxa" w:w="0"/>
              <w:left w:type="dxa" w:w="0"/>
              <w:bottom w:type="dxa" w:w="0"/>
              <w:right w:type="dxa" w:w="0"/>
            </w:tcMar>
          </w:tcPr>
          <w:p w14:paraId="5F020000">
            <w:pPr>
              <w:widowControl w:val="0"/>
              <w:spacing w:before="0" w:line="240" w:lineRule="auto"/>
              <w:ind w:firstLine="0" w:left="0"/>
              <w:jc w:val="left"/>
            </w:pPr>
          </w:p>
        </w:tc>
        <w:tc>
          <w:tcPr>
            <w:tcW w:type="dxa" w:w="3628"/>
            <w:tcBorders>
              <w:top w:color="000000" w:sz="4" w:val="single"/>
            </w:tcBorders>
            <w:tcMar>
              <w:top w:type="dxa" w:w="0"/>
              <w:left w:type="dxa" w:w="0"/>
              <w:bottom w:type="dxa" w:w="0"/>
              <w:right w:type="dxa" w:w="0"/>
            </w:tcMar>
          </w:tcPr>
          <w:p w14:paraId="60020000">
            <w:pPr>
              <w:widowControl w:val="0"/>
              <w:spacing w:before="0" w:line="240" w:lineRule="auto"/>
              <w:ind w:firstLine="0" w:left="0"/>
              <w:jc w:val="center"/>
            </w:pPr>
            <w:r>
              <w:t>(фамилия, имя, отчество (при наличии)</w:t>
            </w:r>
          </w:p>
        </w:tc>
      </w:tr>
      <w:tr>
        <w:tc>
          <w:tcPr>
            <w:tcW w:type="dxa" w:w="3013"/>
            <w:tcMar>
              <w:top w:type="dxa" w:w="0"/>
              <w:left w:type="dxa" w:w="0"/>
              <w:bottom w:type="dxa" w:w="0"/>
              <w:right w:type="dxa" w:w="0"/>
            </w:tcMar>
            <w:vAlign w:val="bottom"/>
          </w:tcPr>
          <w:p w14:paraId="61020000">
            <w:pPr>
              <w:widowControl w:val="0"/>
              <w:spacing w:before="0" w:line="240" w:lineRule="auto"/>
              <w:ind w:firstLine="0" w:left="0"/>
              <w:jc w:val="left"/>
            </w:pPr>
            <w:r>
              <w:t>Главный бухгалтер</w:t>
            </w:r>
          </w:p>
        </w:tc>
        <w:tc>
          <w:tcPr>
            <w:tcW w:type="dxa" w:w="1953"/>
            <w:tcBorders>
              <w:bottom w:color="000000" w:sz="4" w:val="single"/>
            </w:tcBorders>
            <w:tcMar>
              <w:top w:type="dxa" w:w="0"/>
              <w:left w:type="dxa" w:w="0"/>
              <w:bottom w:type="dxa" w:w="0"/>
              <w:right w:type="dxa" w:w="0"/>
            </w:tcMar>
          </w:tcPr>
          <w:p w14:paraId="62020000">
            <w:pPr>
              <w:widowControl w:val="0"/>
              <w:spacing w:before="0" w:line="240" w:lineRule="auto"/>
              <w:ind w:firstLine="0" w:left="0"/>
              <w:jc w:val="left"/>
            </w:pPr>
          </w:p>
        </w:tc>
        <w:tc>
          <w:tcPr>
            <w:tcW w:type="dxa" w:w="335"/>
            <w:tcMar>
              <w:top w:type="dxa" w:w="0"/>
              <w:left w:type="dxa" w:w="0"/>
              <w:bottom w:type="dxa" w:w="0"/>
              <w:right w:type="dxa" w:w="0"/>
            </w:tcMar>
          </w:tcPr>
          <w:p w14:paraId="63020000">
            <w:pPr>
              <w:widowControl w:val="0"/>
              <w:spacing w:before="0" w:line="240" w:lineRule="auto"/>
              <w:ind w:firstLine="0" w:left="0"/>
              <w:jc w:val="left"/>
            </w:pPr>
          </w:p>
        </w:tc>
        <w:tc>
          <w:tcPr>
            <w:tcW w:type="dxa" w:w="3628"/>
            <w:tcBorders>
              <w:bottom w:color="000000" w:sz="4" w:val="single"/>
            </w:tcBorders>
            <w:tcMar>
              <w:top w:type="dxa" w:w="0"/>
              <w:left w:type="dxa" w:w="0"/>
              <w:bottom w:type="dxa" w:w="0"/>
              <w:right w:type="dxa" w:w="0"/>
            </w:tcMar>
          </w:tcPr>
          <w:p w14:paraId="64020000">
            <w:pPr>
              <w:widowControl w:val="0"/>
              <w:spacing w:before="0" w:line="240" w:lineRule="auto"/>
              <w:ind w:firstLine="0" w:left="0"/>
              <w:jc w:val="left"/>
            </w:pPr>
          </w:p>
        </w:tc>
      </w:tr>
      <w:tr>
        <w:tc>
          <w:tcPr>
            <w:tcW w:type="dxa" w:w="3013"/>
            <w:tcMar>
              <w:top w:type="dxa" w:w="0"/>
              <w:left w:type="dxa" w:w="0"/>
              <w:bottom w:type="dxa" w:w="0"/>
              <w:right w:type="dxa" w:w="0"/>
            </w:tcMar>
          </w:tcPr>
          <w:p w14:paraId="65020000">
            <w:pPr>
              <w:widowControl w:val="0"/>
              <w:spacing w:before="0" w:line="240" w:lineRule="auto"/>
              <w:ind w:firstLine="0" w:left="0"/>
              <w:jc w:val="left"/>
            </w:pPr>
          </w:p>
        </w:tc>
        <w:tc>
          <w:tcPr>
            <w:tcW w:type="dxa" w:w="1953"/>
            <w:tcBorders>
              <w:top w:color="000000" w:sz="4" w:val="single"/>
            </w:tcBorders>
            <w:tcMar>
              <w:top w:type="dxa" w:w="0"/>
              <w:left w:type="dxa" w:w="0"/>
              <w:bottom w:type="dxa" w:w="0"/>
              <w:right w:type="dxa" w:w="0"/>
            </w:tcMar>
          </w:tcPr>
          <w:p w14:paraId="66020000">
            <w:pPr>
              <w:widowControl w:val="0"/>
              <w:spacing w:before="0" w:line="240" w:lineRule="auto"/>
              <w:ind w:firstLine="0" w:left="0"/>
              <w:jc w:val="center"/>
            </w:pPr>
            <w:r>
              <w:t>(подпись)</w:t>
            </w:r>
          </w:p>
        </w:tc>
        <w:tc>
          <w:tcPr>
            <w:tcW w:type="dxa" w:w="335"/>
            <w:tcMar>
              <w:top w:type="dxa" w:w="0"/>
              <w:left w:type="dxa" w:w="0"/>
              <w:bottom w:type="dxa" w:w="0"/>
              <w:right w:type="dxa" w:w="0"/>
            </w:tcMar>
          </w:tcPr>
          <w:p w14:paraId="67020000">
            <w:pPr>
              <w:widowControl w:val="0"/>
              <w:spacing w:before="0" w:line="240" w:lineRule="auto"/>
              <w:ind w:firstLine="0" w:left="0"/>
              <w:jc w:val="left"/>
            </w:pPr>
          </w:p>
        </w:tc>
        <w:tc>
          <w:tcPr>
            <w:tcW w:type="dxa" w:w="3628"/>
            <w:tcBorders>
              <w:top w:color="000000" w:sz="4" w:val="single"/>
            </w:tcBorders>
            <w:tcMar>
              <w:top w:type="dxa" w:w="0"/>
              <w:left w:type="dxa" w:w="0"/>
              <w:bottom w:type="dxa" w:w="0"/>
              <w:right w:type="dxa" w:w="0"/>
            </w:tcMar>
          </w:tcPr>
          <w:p w14:paraId="68020000">
            <w:pPr>
              <w:widowControl w:val="0"/>
              <w:spacing w:before="0" w:line="240" w:lineRule="auto"/>
              <w:ind w:firstLine="0" w:left="0"/>
              <w:jc w:val="center"/>
            </w:pPr>
            <w:r>
              <w:t>(фамилия, имя, отчество (при наличии)</w:t>
            </w:r>
          </w:p>
        </w:tc>
      </w:tr>
      <w:tr>
        <w:tc>
          <w:tcPr>
            <w:tcW w:type="dxa" w:w="3013"/>
            <w:tcMar>
              <w:top w:type="dxa" w:w="0"/>
              <w:left w:type="dxa" w:w="0"/>
              <w:bottom w:type="dxa" w:w="0"/>
              <w:right w:type="dxa" w:w="0"/>
            </w:tcMar>
            <w:vAlign w:val="bottom"/>
          </w:tcPr>
          <w:p w14:paraId="69020000">
            <w:pPr>
              <w:widowControl w:val="0"/>
              <w:spacing w:before="0" w:line="240" w:lineRule="auto"/>
              <w:ind w:firstLine="0" w:left="0"/>
              <w:jc w:val="left"/>
            </w:pPr>
            <w:r>
              <w:t>МП (при наличии)</w:t>
            </w:r>
          </w:p>
        </w:tc>
        <w:tc>
          <w:tcPr>
            <w:tcW w:type="dxa" w:w="1953"/>
            <w:tcMar>
              <w:top w:type="dxa" w:w="0"/>
              <w:left w:type="dxa" w:w="0"/>
              <w:bottom w:type="dxa" w:w="0"/>
              <w:right w:type="dxa" w:w="0"/>
            </w:tcMar>
          </w:tcPr>
          <w:p w14:paraId="6A020000">
            <w:pPr>
              <w:widowControl w:val="0"/>
              <w:spacing w:before="0" w:line="240" w:lineRule="auto"/>
              <w:ind w:firstLine="0" w:left="0"/>
              <w:jc w:val="left"/>
            </w:pPr>
          </w:p>
        </w:tc>
        <w:tc>
          <w:tcPr>
            <w:tcW w:type="dxa" w:w="335"/>
            <w:tcMar>
              <w:top w:type="dxa" w:w="0"/>
              <w:left w:type="dxa" w:w="0"/>
              <w:bottom w:type="dxa" w:w="0"/>
              <w:right w:type="dxa" w:w="0"/>
            </w:tcMar>
          </w:tcPr>
          <w:p w14:paraId="6B020000">
            <w:pPr>
              <w:widowControl w:val="0"/>
              <w:spacing w:before="0" w:line="240" w:lineRule="auto"/>
              <w:ind w:firstLine="0" w:left="0"/>
              <w:jc w:val="left"/>
            </w:pPr>
          </w:p>
        </w:tc>
        <w:tc>
          <w:tcPr>
            <w:tcW w:type="dxa" w:w="3628"/>
            <w:tcMar>
              <w:top w:type="dxa" w:w="0"/>
              <w:left w:type="dxa" w:w="0"/>
              <w:bottom w:type="dxa" w:w="0"/>
              <w:right w:type="dxa" w:w="0"/>
            </w:tcMar>
          </w:tcPr>
          <w:p w14:paraId="6C020000">
            <w:pPr>
              <w:widowControl w:val="0"/>
              <w:spacing w:before="0" w:line="240" w:lineRule="auto"/>
              <w:ind w:firstLine="0" w:left="0"/>
              <w:jc w:val="center"/>
            </w:pPr>
            <w:r>
              <w:t>«__» ___________ 20__ г.</w:t>
            </w:r>
          </w:p>
        </w:tc>
      </w:tr>
      <w:tr>
        <w:tc>
          <w:tcPr>
            <w:tcW w:type="dxa" w:w="3013"/>
            <w:tcMar>
              <w:top w:type="dxa" w:w="0"/>
              <w:left w:type="dxa" w:w="0"/>
              <w:bottom w:type="dxa" w:w="0"/>
              <w:right w:type="dxa" w:w="0"/>
            </w:tcMar>
            <w:vAlign w:val="center"/>
          </w:tcPr>
          <w:p w14:paraId="6D020000">
            <w:pPr>
              <w:widowControl w:val="0"/>
              <w:spacing w:before="0" w:line="240" w:lineRule="auto"/>
              <w:ind w:firstLine="0" w:left="0"/>
              <w:jc w:val="left"/>
            </w:pPr>
            <w:r>
              <w:t>Расчет подтверждается</w:t>
            </w:r>
          </w:p>
        </w:tc>
        <w:tc>
          <w:tcPr>
            <w:tcW w:type="dxa" w:w="1953"/>
            <w:tcMar>
              <w:top w:type="dxa" w:w="0"/>
              <w:left w:type="dxa" w:w="0"/>
              <w:bottom w:type="dxa" w:w="0"/>
              <w:right w:type="dxa" w:w="0"/>
            </w:tcMar>
          </w:tcPr>
          <w:p w14:paraId="6E020000">
            <w:pPr>
              <w:widowControl w:val="0"/>
              <w:spacing w:before="0" w:line="240" w:lineRule="auto"/>
              <w:ind w:firstLine="0" w:left="0"/>
              <w:jc w:val="left"/>
            </w:pPr>
          </w:p>
        </w:tc>
        <w:tc>
          <w:tcPr>
            <w:tcW w:type="dxa" w:w="335"/>
            <w:tcMar>
              <w:top w:type="dxa" w:w="0"/>
              <w:left w:type="dxa" w:w="0"/>
              <w:bottom w:type="dxa" w:w="0"/>
              <w:right w:type="dxa" w:w="0"/>
            </w:tcMar>
          </w:tcPr>
          <w:p w14:paraId="6F020000">
            <w:pPr>
              <w:widowControl w:val="0"/>
              <w:spacing w:before="0" w:line="240" w:lineRule="auto"/>
              <w:ind w:firstLine="0" w:left="0"/>
              <w:jc w:val="left"/>
            </w:pPr>
          </w:p>
        </w:tc>
        <w:tc>
          <w:tcPr>
            <w:tcW w:type="dxa" w:w="3628"/>
            <w:tcMar>
              <w:top w:type="dxa" w:w="0"/>
              <w:left w:type="dxa" w:w="0"/>
              <w:bottom w:type="dxa" w:w="0"/>
              <w:right w:type="dxa" w:w="0"/>
            </w:tcMar>
          </w:tcPr>
          <w:p w14:paraId="70020000">
            <w:pPr>
              <w:widowControl w:val="0"/>
              <w:spacing w:before="0" w:line="240" w:lineRule="auto"/>
              <w:ind w:firstLine="0" w:left="0"/>
              <w:jc w:val="left"/>
            </w:pPr>
          </w:p>
        </w:tc>
      </w:tr>
      <w:tr>
        <w:tc>
          <w:tcPr>
            <w:tcW w:type="dxa" w:w="3013"/>
            <w:tcMar>
              <w:top w:type="dxa" w:w="0"/>
              <w:left w:type="dxa" w:w="0"/>
              <w:bottom w:type="dxa" w:w="0"/>
              <w:right w:type="dxa" w:w="0"/>
            </w:tcMar>
            <w:vAlign w:val="bottom"/>
          </w:tcPr>
          <w:p w14:paraId="71020000">
            <w:pPr>
              <w:widowControl w:val="0"/>
              <w:spacing w:before="0" w:line="240" w:lineRule="auto"/>
              <w:ind w:firstLine="0" w:left="0"/>
              <w:jc w:val="left"/>
            </w:pPr>
            <w:r>
              <w:t>Уполномоченное лицо кредитной организации (иной организации)</w:t>
            </w:r>
          </w:p>
        </w:tc>
        <w:tc>
          <w:tcPr>
            <w:tcW w:type="dxa" w:w="1953"/>
            <w:tcBorders>
              <w:bottom w:color="000000" w:sz="4" w:val="single"/>
            </w:tcBorders>
            <w:tcMar>
              <w:top w:type="dxa" w:w="0"/>
              <w:left w:type="dxa" w:w="0"/>
              <w:bottom w:type="dxa" w:w="0"/>
              <w:right w:type="dxa" w:w="0"/>
            </w:tcMar>
          </w:tcPr>
          <w:p w14:paraId="72020000">
            <w:pPr>
              <w:widowControl w:val="0"/>
              <w:spacing w:before="0" w:line="240" w:lineRule="auto"/>
              <w:ind w:firstLine="0" w:left="0"/>
              <w:jc w:val="left"/>
            </w:pPr>
          </w:p>
        </w:tc>
        <w:tc>
          <w:tcPr>
            <w:tcW w:type="dxa" w:w="335"/>
            <w:tcMar>
              <w:top w:type="dxa" w:w="0"/>
              <w:left w:type="dxa" w:w="0"/>
              <w:bottom w:type="dxa" w:w="0"/>
              <w:right w:type="dxa" w:w="0"/>
            </w:tcMar>
          </w:tcPr>
          <w:p w14:paraId="73020000">
            <w:pPr>
              <w:widowControl w:val="0"/>
              <w:spacing w:before="0" w:line="240" w:lineRule="auto"/>
              <w:ind w:firstLine="0" w:left="0"/>
              <w:jc w:val="left"/>
            </w:pPr>
          </w:p>
        </w:tc>
        <w:tc>
          <w:tcPr>
            <w:tcW w:type="dxa" w:w="3628"/>
            <w:tcBorders>
              <w:bottom w:color="000000" w:sz="4" w:val="single"/>
            </w:tcBorders>
            <w:tcMar>
              <w:top w:type="dxa" w:w="0"/>
              <w:left w:type="dxa" w:w="0"/>
              <w:bottom w:type="dxa" w:w="0"/>
              <w:right w:type="dxa" w:w="0"/>
            </w:tcMar>
          </w:tcPr>
          <w:p w14:paraId="74020000">
            <w:pPr>
              <w:widowControl w:val="0"/>
              <w:spacing w:before="0" w:line="240" w:lineRule="auto"/>
              <w:ind w:firstLine="0" w:left="0"/>
              <w:jc w:val="left"/>
            </w:pPr>
          </w:p>
        </w:tc>
      </w:tr>
      <w:tr>
        <w:tc>
          <w:tcPr>
            <w:tcW w:type="dxa" w:w="3013"/>
            <w:tcMar>
              <w:top w:type="dxa" w:w="0"/>
              <w:left w:type="dxa" w:w="0"/>
              <w:bottom w:type="dxa" w:w="0"/>
              <w:right w:type="dxa" w:w="0"/>
            </w:tcMar>
          </w:tcPr>
          <w:p w14:paraId="75020000">
            <w:pPr>
              <w:widowControl w:val="0"/>
              <w:spacing w:before="0" w:line="240" w:lineRule="auto"/>
              <w:ind w:firstLine="0" w:left="0"/>
              <w:jc w:val="left"/>
            </w:pPr>
          </w:p>
        </w:tc>
        <w:tc>
          <w:tcPr>
            <w:tcW w:type="dxa" w:w="1953"/>
            <w:tcBorders>
              <w:top w:color="000000" w:sz="4" w:val="single"/>
            </w:tcBorders>
            <w:tcMar>
              <w:top w:type="dxa" w:w="0"/>
              <w:left w:type="dxa" w:w="0"/>
              <w:bottom w:type="dxa" w:w="0"/>
              <w:right w:type="dxa" w:w="0"/>
            </w:tcMar>
          </w:tcPr>
          <w:p w14:paraId="76020000">
            <w:pPr>
              <w:widowControl w:val="0"/>
              <w:spacing w:before="0" w:line="240" w:lineRule="auto"/>
              <w:ind w:firstLine="0" w:left="0"/>
              <w:jc w:val="center"/>
            </w:pPr>
            <w:r>
              <w:t>(подпись)</w:t>
            </w:r>
          </w:p>
        </w:tc>
        <w:tc>
          <w:tcPr>
            <w:tcW w:type="dxa" w:w="335"/>
            <w:tcMar>
              <w:top w:type="dxa" w:w="0"/>
              <w:left w:type="dxa" w:w="0"/>
              <w:bottom w:type="dxa" w:w="0"/>
              <w:right w:type="dxa" w:w="0"/>
            </w:tcMar>
          </w:tcPr>
          <w:p w14:paraId="77020000">
            <w:pPr>
              <w:widowControl w:val="0"/>
              <w:spacing w:before="0" w:line="240" w:lineRule="auto"/>
              <w:ind w:firstLine="0" w:left="0"/>
              <w:jc w:val="left"/>
            </w:pPr>
          </w:p>
        </w:tc>
        <w:tc>
          <w:tcPr>
            <w:tcW w:type="dxa" w:w="3628"/>
            <w:tcBorders>
              <w:top w:color="000000" w:sz="4" w:val="single"/>
            </w:tcBorders>
            <w:tcMar>
              <w:top w:type="dxa" w:w="0"/>
              <w:left w:type="dxa" w:w="0"/>
              <w:bottom w:type="dxa" w:w="0"/>
              <w:right w:type="dxa" w:w="0"/>
            </w:tcMar>
          </w:tcPr>
          <w:p w14:paraId="78020000">
            <w:pPr>
              <w:widowControl w:val="0"/>
              <w:spacing w:before="0" w:line="240" w:lineRule="auto"/>
              <w:ind w:firstLine="0" w:left="0"/>
              <w:jc w:val="center"/>
            </w:pPr>
            <w:r>
              <w:t>(фамилия, имя, отчество (при наличии)</w:t>
            </w:r>
          </w:p>
        </w:tc>
      </w:tr>
      <w:tr>
        <w:tc>
          <w:tcPr>
            <w:tcW w:type="dxa" w:w="3013"/>
            <w:tcMar>
              <w:top w:type="dxa" w:w="0"/>
              <w:left w:type="dxa" w:w="0"/>
              <w:bottom w:type="dxa" w:w="0"/>
              <w:right w:type="dxa" w:w="0"/>
            </w:tcMar>
          </w:tcPr>
          <w:p w14:paraId="79020000">
            <w:pPr>
              <w:widowControl w:val="0"/>
              <w:spacing w:before="0" w:line="240" w:lineRule="auto"/>
              <w:ind w:firstLine="0" w:left="0"/>
              <w:jc w:val="left"/>
            </w:pPr>
          </w:p>
        </w:tc>
        <w:tc>
          <w:tcPr>
            <w:tcW w:type="dxa" w:w="1953"/>
            <w:tcMar>
              <w:top w:type="dxa" w:w="0"/>
              <w:left w:type="dxa" w:w="0"/>
              <w:bottom w:type="dxa" w:w="0"/>
              <w:right w:type="dxa" w:w="0"/>
            </w:tcMar>
          </w:tcPr>
          <w:p w14:paraId="7A020000">
            <w:pPr>
              <w:widowControl w:val="0"/>
              <w:spacing w:before="0" w:line="240" w:lineRule="auto"/>
              <w:ind w:firstLine="0" w:left="0"/>
              <w:jc w:val="left"/>
            </w:pPr>
          </w:p>
        </w:tc>
        <w:tc>
          <w:tcPr>
            <w:tcW w:type="dxa" w:w="335"/>
            <w:tcMar>
              <w:top w:type="dxa" w:w="0"/>
              <w:left w:type="dxa" w:w="0"/>
              <w:bottom w:type="dxa" w:w="0"/>
              <w:right w:type="dxa" w:w="0"/>
            </w:tcMar>
          </w:tcPr>
          <w:p w14:paraId="7B020000">
            <w:pPr>
              <w:widowControl w:val="0"/>
              <w:spacing w:before="0" w:line="240" w:lineRule="auto"/>
              <w:ind w:firstLine="0" w:left="0"/>
              <w:jc w:val="left"/>
            </w:pPr>
          </w:p>
        </w:tc>
        <w:tc>
          <w:tcPr>
            <w:tcW w:type="dxa" w:w="3628"/>
            <w:tcMar>
              <w:top w:type="dxa" w:w="0"/>
              <w:left w:type="dxa" w:w="0"/>
              <w:bottom w:type="dxa" w:w="0"/>
              <w:right w:type="dxa" w:w="0"/>
            </w:tcMar>
          </w:tcPr>
          <w:p w14:paraId="7C020000">
            <w:pPr>
              <w:widowControl w:val="0"/>
              <w:spacing w:before="0" w:line="240" w:lineRule="auto"/>
              <w:ind w:firstLine="0" w:left="0"/>
              <w:jc w:val="center"/>
            </w:pPr>
            <w:r>
              <w:t>«__» ___________ 20__ г.</w:t>
            </w:r>
          </w:p>
        </w:tc>
      </w:tr>
    </w:tbl>
    <w:p w14:paraId="7D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8929"/>
      </w:tblGrid>
      <w:tr>
        <w:tc>
          <w:tcPr>
            <w:tcW w:type="dxa" w:w="8929"/>
            <w:tcMar>
              <w:top w:type="dxa" w:w="0"/>
              <w:left w:type="dxa" w:w="0"/>
              <w:bottom w:type="dxa" w:w="0"/>
              <w:right w:type="dxa" w:w="0"/>
            </w:tcMar>
          </w:tcPr>
          <w:p w14:paraId="7E020000">
            <w:pPr>
              <w:widowControl w:val="0"/>
              <w:spacing w:before="0" w:line="240" w:lineRule="auto"/>
              <w:ind w:firstLine="0" w:left="0"/>
              <w:jc w:val="center"/>
            </w:pPr>
            <w:r>
              <w:t>Расчет объема фактически понесенных затрат на уплату процентов по кредиту (займу), полученному в иностранной валюте &lt;14&gt;</w:t>
            </w:r>
          </w:p>
        </w:tc>
      </w:tr>
    </w:tbl>
    <w:p w14:paraId="7F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338"/>
        <w:gridCol w:w="1591"/>
        <w:gridCol w:w="925"/>
        <w:gridCol w:w="2546"/>
        <w:gridCol w:w="771"/>
        <w:gridCol w:w="2759"/>
      </w:tblGrid>
      <w:tr>
        <w:tc>
          <w:tcPr>
            <w:tcW w:type="dxa" w:w="8929"/>
            <w:gridSpan w:val="6"/>
            <w:tcMar>
              <w:top w:type="dxa" w:w="0"/>
              <w:left w:type="dxa" w:w="0"/>
              <w:bottom w:type="dxa" w:w="0"/>
              <w:right w:type="dxa" w:w="0"/>
            </w:tcMar>
          </w:tcPr>
          <w:p w14:paraId="80020000">
            <w:pPr>
              <w:widowControl w:val="0"/>
              <w:spacing w:before="0" w:line="240" w:lineRule="auto"/>
              <w:ind w:firstLine="0" w:left="0"/>
              <w:jc w:val="left"/>
            </w:pPr>
            <w:r>
              <w:t>за период с «__» _______________ 20__ г. по «__» _______________ 20__ г. &lt;15&gt;</w:t>
            </w:r>
          </w:p>
        </w:tc>
      </w:tr>
      <w:tr>
        <w:tc>
          <w:tcPr>
            <w:tcW w:type="dxa" w:w="1929"/>
            <w:gridSpan w:val="2"/>
            <w:tcMar>
              <w:top w:type="dxa" w:w="0"/>
              <w:left w:type="dxa" w:w="0"/>
              <w:bottom w:type="dxa" w:w="0"/>
              <w:right w:type="dxa" w:w="0"/>
            </w:tcMar>
            <w:vAlign w:val="bottom"/>
          </w:tcPr>
          <w:p w14:paraId="81020000">
            <w:pPr>
              <w:widowControl w:val="0"/>
              <w:spacing w:before="0" w:line="240" w:lineRule="auto"/>
              <w:ind w:firstLine="0" w:left="0"/>
              <w:jc w:val="left"/>
            </w:pPr>
            <w:r>
              <w:t>расчетный счет</w:t>
            </w:r>
          </w:p>
        </w:tc>
        <w:tc>
          <w:tcPr>
            <w:tcW w:type="dxa" w:w="7000"/>
            <w:gridSpan w:val="4"/>
            <w:tcBorders>
              <w:bottom w:color="000000" w:sz="4" w:val="single"/>
            </w:tcBorders>
            <w:tcMar>
              <w:top w:type="dxa" w:w="0"/>
              <w:left w:type="dxa" w:w="0"/>
              <w:bottom w:type="dxa" w:w="0"/>
              <w:right w:type="dxa" w:w="0"/>
            </w:tcMar>
          </w:tcPr>
          <w:p w14:paraId="82020000">
            <w:pPr>
              <w:widowControl w:val="0"/>
              <w:spacing w:before="0" w:line="240" w:lineRule="auto"/>
              <w:ind w:firstLine="0" w:left="0"/>
              <w:jc w:val="left"/>
            </w:pPr>
          </w:p>
        </w:tc>
      </w:tr>
      <w:tr>
        <w:tc>
          <w:tcPr>
            <w:tcW w:type="dxa" w:w="338"/>
            <w:tcMar>
              <w:top w:type="dxa" w:w="0"/>
              <w:left w:type="dxa" w:w="0"/>
              <w:bottom w:type="dxa" w:w="0"/>
              <w:right w:type="dxa" w:w="0"/>
            </w:tcMar>
            <w:vAlign w:val="bottom"/>
          </w:tcPr>
          <w:p w14:paraId="83020000">
            <w:pPr>
              <w:widowControl w:val="0"/>
              <w:spacing w:before="0" w:line="240" w:lineRule="auto"/>
              <w:ind w:firstLine="0" w:left="0"/>
              <w:jc w:val="left"/>
            </w:pPr>
            <w:r>
              <w:t>в</w:t>
            </w:r>
          </w:p>
        </w:tc>
        <w:tc>
          <w:tcPr>
            <w:tcW w:type="dxa" w:w="5061"/>
            <w:gridSpan w:val="3"/>
            <w:tcBorders>
              <w:bottom w:color="000000" w:sz="4" w:val="single"/>
            </w:tcBorders>
            <w:tcMar>
              <w:top w:type="dxa" w:w="0"/>
              <w:left w:type="dxa" w:w="0"/>
              <w:bottom w:type="dxa" w:w="0"/>
              <w:right w:type="dxa" w:w="0"/>
            </w:tcMar>
            <w:vAlign w:val="bottom"/>
          </w:tcPr>
          <w:p w14:paraId="84020000">
            <w:pPr>
              <w:widowControl w:val="0"/>
              <w:spacing w:before="0" w:line="240" w:lineRule="auto"/>
              <w:ind w:firstLine="0" w:left="0"/>
              <w:jc w:val="left"/>
            </w:pPr>
          </w:p>
        </w:tc>
        <w:tc>
          <w:tcPr>
            <w:tcW w:type="dxa" w:w="771"/>
            <w:tcBorders>
              <w:top w:color="000000" w:sz="4" w:val="single"/>
            </w:tcBorders>
            <w:tcMar>
              <w:top w:type="dxa" w:w="0"/>
              <w:left w:type="dxa" w:w="0"/>
              <w:bottom w:type="dxa" w:w="0"/>
              <w:right w:type="dxa" w:w="0"/>
            </w:tcMar>
            <w:vAlign w:val="bottom"/>
          </w:tcPr>
          <w:p w14:paraId="85020000">
            <w:pPr>
              <w:widowControl w:val="0"/>
              <w:spacing w:before="0" w:line="240" w:lineRule="auto"/>
              <w:ind w:firstLine="0" w:left="0"/>
              <w:jc w:val="both"/>
            </w:pPr>
            <w:r>
              <w:t>, БИК</w:t>
            </w:r>
          </w:p>
        </w:tc>
        <w:tc>
          <w:tcPr>
            <w:tcW w:type="dxa" w:w="2759"/>
            <w:tcBorders>
              <w:top w:color="000000" w:sz="4" w:val="single"/>
              <w:bottom w:color="000000" w:sz="4" w:val="single"/>
            </w:tcBorders>
            <w:tcMar>
              <w:top w:type="dxa" w:w="0"/>
              <w:left w:type="dxa" w:w="0"/>
              <w:bottom w:type="dxa" w:w="0"/>
              <w:right w:type="dxa" w:w="0"/>
            </w:tcMar>
          </w:tcPr>
          <w:p w14:paraId="86020000">
            <w:pPr>
              <w:widowControl w:val="0"/>
              <w:spacing w:before="0" w:line="240" w:lineRule="auto"/>
              <w:ind w:firstLine="0" w:left="0"/>
              <w:jc w:val="left"/>
            </w:pPr>
          </w:p>
        </w:tc>
      </w:tr>
      <w:tr>
        <w:tc>
          <w:tcPr>
            <w:tcW w:type="dxa" w:w="338"/>
            <w:tcMar>
              <w:top w:type="dxa" w:w="0"/>
              <w:left w:type="dxa" w:w="0"/>
              <w:bottom w:type="dxa" w:w="0"/>
              <w:right w:type="dxa" w:w="0"/>
            </w:tcMar>
          </w:tcPr>
          <w:p w14:paraId="87020000">
            <w:pPr>
              <w:widowControl w:val="0"/>
              <w:spacing w:before="0" w:line="240" w:lineRule="auto"/>
              <w:ind w:firstLine="0" w:left="0"/>
              <w:jc w:val="left"/>
            </w:pPr>
          </w:p>
        </w:tc>
        <w:tc>
          <w:tcPr>
            <w:tcW w:type="dxa" w:w="5061"/>
            <w:gridSpan w:val="3"/>
            <w:tcBorders>
              <w:top w:color="000000" w:sz="4" w:val="single"/>
            </w:tcBorders>
            <w:tcMar>
              <w:top w:type="dxa" w:w="0"/>
              <w:left w:type="dxa" w:w="0"/>
              <w:bottom w:type="dxa" w:w="0"/>
              <w:right w:type="dxa" w:w="0"/>
            </w:tcMar>
          </w:tcPr>
          <w:p w14:paraId="88020000">
            <w:pPr>
              <w:widowControl w:val="0"/>
              <w:spacing w:before="0" w:line="240" w:lineRule="auto"/>
              <w:ind w:firstLine="0" w:left="0"/>
              <w:jc w:val="center"/>
            </w:pPr>
            <w:r>
              <w:t>(наименование кредитной организации, заимодавец)</w:t>
            </w:r>
          </w:p>
        </w:tc>
        <w:tc>
          <w:tcPr>
            <w:tcW w:type="dxa" w:w="771"/>
            <w:tcMar>
              <w:top w:type="dxa" w:w="0"/>
              <w:left w:type="dxa" w:w="0"/>
              <w:bottom w:type="dxa" w:w="0"/>
              <w:right w:type="dxa" w:w="0"/>
            </w:tcMar>
          </w:tcPr>
          <w:p w14:paraId="89020000">
            <w:pPr>
              <w:widowControl w:val="0"/>
              <w:spacing w:before="0" w:line="240" w:lineRule="auto"/>
              <w:ind w:firstLine="0" w:left="0"/>
              <w:jc w:val="left"/>
            </w:pPr>
          </w:p>
        </w:tc>
        <w:tc>
          <w:tcPr>
            <w:tcW w:type="dxa" w:w="2759"/>
            <w:tcBorders>
              <w:top w:color="000000" w:sz="4" w:val="single"/>
            </w:tcBorders>
            <w:tcMar>
              <w:top w:type="dxa" w:w="0"/>
              <w:left w:type="dxa" w:w="0"/>
              <w:bottom w:type="dxa" w:w="0"/>
              <w:right w:type="dxa" w:w="0"/>
            </w:tcMar>
          </w:tcPr>
          <w:p w14:paraId="8A020000">
            <w:pPr>
              <w:widowControl w:val="0"/>
              <w:spacing w:before="0" w:line="240" w:lineRule="auto"/>
              <w:ind w:firstLine="0" w:left="0"/>
              <w:jc w:val="left"/>
            </w:pPr>
          </w:p>
        </w:tc>
      </w:tr>
      <w:tr>
        <w:tc>
          <w:tcPr>
            <w:tcW w:type="dxa" w:w="2854"/>
            <w:gridSpan w:val="3"/>
            <w:tcMar>
              <w:top w:type="dxa" w:w="0"/>
              <w:left w:type="dxa" w:w="0"/>
              <w:bottom w:type="dxa" w:w="0"/>
              <w:right w:type="dxa" w:w="0"/>
            </w:tcMar>
            <w:vAlign w:val="bottom"/>
          </w:tcPr>
          <w:p w14:paraId="8B020000">
            <w:pPr>
              <w:widowControl w:val="0"/>
              <w:spacing w:before="0" w:line="240" w:lineRule="auto"/>
              <w:ind w:firstLine="0" w:left="0"/>
              <w:jc w:val="left"/>
            </w:pPr>
            <w:r>
              <w:t>корреспондентский счет</w:t>
            </w:r>
          </w:p>
        </w:tc>
        <w:tc>
          <w:tcPr>
            <w:tcW w:type="dxa" w:w="6075"/>
            <w:gridSpan w:val="3"/>
            <w:tcBorders>
              <w:bottom w:color="000000" w:sz="4" w:val="single"/>
            </w:tcBorders>
            <w:tcMar>
              <w:top w:type="dxa" w:w="0"/>
              <w:left w:type="dxa" w:w="0"/>
              <w:bottom w:type="dxa" w:w="0"/>
              <w:right w:type="dxa" w:w="0"/>
            </w:tcMar>
          </w:tcPr>
          <w:p w14:paraId="8C020000">
            <w:pPr>
              <w:widowControl w:val="0"/>
              <w:spacing w:before="0" w:line="240" w:lineRule="auto"/>
              <w:ind w:firstLine="0" w:left="0"/>
              <w:jc w:val="left"/>
            </w:pPr>
          </w:p>
        </w:tc>
      </w:tr>
      <w:tr>
        <w:tc>
          <w:tcPr>
            <w:tcW w:type="dxa" w:w="8929"/>
            <w:gridSpan w:val="6"/>
            <w:tcMar>
              <w:top w:type="dxa" w:w="0"/>
              <w:left w:type="dxa" w:w="0"/>
              <w:bottom w:type="dxa" w:w="0"/>
              <w:right w:type="dxa" w:w="0"/>
            </w:tcMar>
          </w:tcPr>
          <w:p w14:paraId="8D020000">
            <w:pPr>
              <w:widowControl w:val="0"/>
              <w:spacing w:before="0" w:line="240" w:lineRule="auto"/>
              <w:ind w:firstLine="0" w:left="0"/>
              <w:jc w:val="left"/>
            </w:pPr>
            <w:r>
              <w:t>кредитный договор (договор займа) № _____ от «__» __________________ 20__ г.</w:t>
            </w:r>
          </w:p>
        </w:tc>
      </w:tr>
      <w:tr>
        <w:tc>
          <w:tcPr>
            <w:tcW w:type="dxa" w:w="338"/>
            <w:tcMar>
              <w:top w:type="dxa" w:w="0"/>
              <w:left w:type="dxa" w:w="0"/>
              <w:bottom w:type="dxa" w:w="0"/>
              <w:right w:type="dxa" w:w="0"/>
            </w:tcMar>
          </w:tcPr>
          <w:p w14:paraId="8E020000">
            <w:pPr>
              <w:widowControl w:val="0"/>
              <w:spacing w:before="0" w:line="240" w:lineRule="auto"/>
              <w:ind w:firstLine="0" w:left="0"/>
              <w:jc w:val="left"/>
            </w:pPr>
            <w:r>
              <w:t>в</w:t>
            </w:r>
          </w:p>
        </w:tc>
        <w:tc>
          <w:tcPr>
            <w:tcW w:type="dxa" w:w="8591"/>
            <w:gridSpan w:val="5"/>
            <w:tcBorders>
              <w:bottom w:color="000000" w:sz="4" w:val="single"/>
            </w:tcBorders>
            <w:tcMar>
              <w:top w:type="dxa" w:w="0"/>
              <w:left w:type="dxa" w:w="0"/>
              <w:bottom w:type="dxa" w:w="0"/>
              <w:right w:type="dxa" w:w="0"/>
            </w:tcMar>
          </w:tcPr>
          <w:p w14:paraId="8F020000">
            <w:pPr>
              <w:widowControl w:val="0"/>
              <w:spacing w:before="0" w:line="240" w:lineRule="auto"/>
              <w:ind w:firstLine="0" w:left="0"/>
              <w:jc w:val="left"/>
            </w:pPr>
          </w:p>
        </w:tc>
      </w:tr>
      <w:tr>
        <w:tc>
          <w:tcPr>
            <w:tcW w:type="dxa" w:w="338"/>
            <w:tcMar>
              <w:top w:type="dxa" w:w="0"/>
              <w:left w:type="dxa" w:w="0"/>
              <w:bottom w:type="dxa" w:w="0"/>
              <w:right w:type="dxa" w:w="0"/>
            </w:tcMar>
          </w:tcPr>
          <w:p w14:paraId="90020000">
            <w:pPr>
              <w:widowControl w:val="0"/>
              <w:spacing w:before="0" w:line="240" w:lineRule="auto"/>
              <w:ind w:firstLine="0" w:left="0"/>
              <w:jc w:val="left"/>
            </w:pPr>
          </w:p>
        </w:tc>
        <w:tc>
          <w:tcPr>
            <w:tcW w:type="dxa" w:w="8591"/>
            <w:gridSpan w:val="5"/>
            <w:tcBorders>
              <w:top w:color="000000" w:sz="4" w:val="single"/>
            </w:tcBorders>
            <w:tcMar>
              <w:top w:type="dxa" w:w="0"/>
              <w:left w:type="dxa" w:w="0"/>
              <w:bottom w:type="dxa" w:w="0"/>
              <w:right w:type="dxa" w:w="0"/>
            </w:tcMar>
          </w:tcPr>
          <w:p w14:paraId="91020000">
            <w:pPr>
              <w:widowControl w:val="0"/>
              <w:spacing w:before="0" w:line="240" w:lineRule="auto"/>
              <w:ind w:firstLine="0" w:left="0"/>
              <w:jc w:val="center"/>
            </w:pPr>
            <w:r>
              <w:t>(наименование кредитной организации, заимодавец)</w:t>
            </w:r>
          </w:p>
        </w:tc>
      </w:tr>
      <w:tr>
        <w:tc>
          <w:tcPr>
            <w:tcW w:type="dxa" w:w="8929"/>
            <w:gridSpan w:val="6"/>
            <w:tcMar>
              <w:top w:type="dxa" w:w="0"/>
              <w:left w:type="dxa" w:w="0"/>
              <w:bottom w:type="dxa" w:w="0"/>
              <w:right w:type="dxa" w:w="0"/>
            </w:tcMar>
          </w:tcPr>
          <w:p w14:paraId="92020000">
            <w:pPr>
              <w:widowControl w:val="0"/>
              <w:spacing w:before="0" w:line="240" w:lineRule="auto"/>
              <w:ind w:firstLine="283" w:left="0"/>
              <w:jc w:val="both"/>
            </w:pPr>
            <w:r>
              <w:t>1. Тип объекта: объект инфраструктуры/основной объект проекта __________________________________________________________________________</w:t>
            </w:r>
          </w:p>
          <w:p w14:paraId="93020000">
            <w:pPr>
              <w:widowControl w:val="0"/>
              <w:spacing w:before="0" w:line="240" w:lineRule="auto"/>
              <w:ind w:firstLine="0" w:left="0"/>
              <w:jc w:val="both"/>
            </w:pPr>
            <w:r>
              <w:t>__________________________________________________________________________</w:t>
            </w:r>
          </w:p>
        </w:tc>
      </w:tr>
      <w:tr>
        <w:tc>
          <w:tcPr>
            <w:tcW w:type="dxa" w:w="8929"/>
            <w:gridSpan w:val="6"/>
            <w:tcMar>
              <w:top w:type="dxa" w:w="0"/>
              <w:left w:type="dxa" w:w="0"/>
              <w:bottom w:type="dxa" w:w="0"/>
              <w:right w:type="dxa" w:w="0"/>
            </w:tcMar>
          </w:tcPr>
          <w:p w14:paraId="94020000">
            <w:pPr>
              <w:widowControl w:val="0"/>
              <w:spacing w:before="0" w:line="240" w:lineRule="auto"/>
              <w:ind w:firstLine="283" w:left="0"/>
              <w:jc w:val="both"/>
            </w:pPr>
            <w:r>
              <w:t>2. Тип объекта инфраструктуры: обеспечивающая/сопутствующая (если применимо) _______________________________________________________________</w:t>
            </w:r>
          </w:p>
        </w:tc>
      </w:tr>
      <w:tr>
        <w:tc>
          <w:tcPr>
            <w:tcW w:type="dxa" w:w="8929"/>
            <w:gridSpan w:val="6"/>
            <w:tcMar>
              <w:top w:type="dxa" w:w="0"/>
              <w:left w:type="dxa" w:w="0"/>
              <w:bottom w:type="dxa" w:w="0"/>
              <w:right w:type="dxa" w:w="0"/>
            </w:tcMar>
          </w:tcPr>
          <w:p w14:paraId="95020000">
            <w:pPr>
              <w:widowControl w:val="0"/>
              <w:spacing w:before="0" w:line="240" w:lineRule="auto"/>
              <w:ind w:firstLine="283" w:left="0"/>
              <w:jc w:val="both"/>
            </w:pPr>
            <w:r>
              <w:t>3. Наименование объекта _________________________________________________</w:t>
            </w:r>
          </w:p>
        </w:tc>
      </w:tr>
      <w:tr>
        <w:tc>
          <w:tcPr>
            <w:tcW w:type="dxa" w:w="8929"/>
            <w:gridSpan w:val="6"/>
            <w:tcMar>
              <w:top w:type="dxa" w:w="0"/>
              <w:left w:type="dxa" w:w="0"/>
              <w:bottom w:type="dxa" w:w="0"/>
              <w:right w:type="dxa" w:w="0"/>
            </w:tcMar>
          </w:tcPr>
          <w:p w14:paraId="96020000">
            <w:pPr>
              <w:widowControl w:val="0"/>
              <w:spacing w:before="0" w:line="240" w:lineRule="auto"/>
              <w:ind w:firstLine="283" w:left="0"/>
              <w:jc w:val="both"/>
            </w:pPr>
            <w:r>
              <w:t>4. Цель предоставления кредита (займа) (в соответствии с кредитным договором (договором займа) __________________________________________________________</w:t>
            </w:r>
          </w:p>
        </w:tc>
      </w:tr>
      <w:tr>
        <w:tc>
          <w:tcPr>
            <w:tcW w:type="dxa" w:w="8929"/>
            <w:gridSpan w:val="6"/>
            <w:tcMar>
              <w:top w:type="dxa" w:w="0"/>
              <w:left w:type="dxa" w:w="0"/>
              <w:bottom w:type="dxa" w:w="0"/>
              <w:right w:type="dxa" w:w="0"/>
            </w:tcMar>
          </w:tcPr>
          <w:p w14:paraId="97020000">
            <w:pPr>
              <w:widowControl w:val="0"/>
              <w:spacing w:before="0" w:line="240" w:lineRule="auto"/>
              <w:ind w:firstLine="283" w:left="0"/>
              <w:jc w:val="both"/>
            </w:pPr>
            <w:r>
              <w:t>5. Дата предоставления кредита (займа) _____________________________________</w:t>
            </w:r>
          </w:p>
        </w:tc>
      </w:tr>
      <w:tr>
        <w:tc>
          <w:tcPr>
            <w:tcW w:type="dxa" w:w="8929"/>
            <w:gridSpan w:val="6"/>
            <w:tcMar>
              <w:top w:type="dxa" w:w="0"/>
              <w:left w:type="dxa" w:w="0"/>
              <w:bottom w:type="dxa" w:w="0"/>
              <w:right w:type="dxa" w:w="0"/>
            </w:tcMar>
            <w:vAlign w:val="bottom"/>
          </w:tcPr>
          <w:p w14:paraId="98020000">
            <w:pPr>
              <w:widowControl w:val="0"/>
              <w:spacing w:before="0" w:line="240" w:lineRule="auto"/>
              <w:ind w:firstLine="283" w:left="0"/>
              <w:jc w:val="both"/>
            </w:pPr>
            <w:r>
              <w:t>6. Срок погашения кредита (займа) по кредитному договору (договору займа) __________________________________________________________________________</w:t>
            </w:r>
          </w:p>
        </w:tc>
      </w:tr>
      <w:tr>
        <w:tc>
          <w:tcPr>
            <w:tcW w:type="dxa" w:w="8929"/>
            <w:gridSpan w:val="6"/>
            <w:tcMar>
              <w:top w:type="dxa" w:w="0"/>
              <w:left w:type="dxa" w:w="0"/>
              <w:bottom w:type="dxa" w:w="0"/>
              <w:right w:type="dxa" w:w="0"/>
            </w:tcMar>
          </w:tcPr>
          <w:p w14:paraId="99020000">
            <w:pPr>
              <w:widowControl w:val="0"/>
              <w:spacing w:before="0" w:line="240" w:lineRule="auto"/>
              <w:ind w:firstLine="283" w:left="0"/>
              <w:jc w:val="both"/>
            </w:pPr>
            <w:r>
              <w:t>7. Сумма полученного кредита (займа) ______________________________________</w:t>
            </w:r>
          </w:p>
        </w:tc>
      </w:tr>
    </w:tbl>
    <w:p w14:paraId="9A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400"/>
        <w:gridCol w:w="671"/>
        <w:gridCol w:w="511"/>
        <w:gridCol w:w="543"/>
        <w:gridCol w:w="671"/>
        <w:gridCol w:w="1086"/>
        <w:gridCol w:w="1820"/>
        <w:gridCol w:w="2332"/>
        <w:gridCol w:w="894"/>
      </w:tblGrid>
      <w:tr>
        <w:tc>
          <w:tcPr>
            <w:tcW w:type="dxa" w:w="400"/>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9B020000">
            <w:pPr>
              <w:widowControl w:val="0"/>
              <w:spacing w:before="0" w:line="240" w:lineRule="auto"/>
              <w:ind w:firstLine="0" w:left="0"/>
              <w:jc w:val="center"/>
            </w:pPr>
            <w:r>
              <w:t>Фактическая дата уплаты процентов по кредиту (займу)</w:t>
            </w:r>
          </w:p>
        </w:tc>
        <w:tc>
          <w:tcPr>
            <w:tcW w:type="dxa" w:w="671"/>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9C020000">
            <w:pPr>
              <w:widowControl w:val="0"/>
              <w:spacing w:before="0" w:line="240" w:lineRule="auto"/>
              <w:ind w:firstLine="0" w:left="0"/>
              <w:jc w:val="center"/>
            </w:pPr>
            <w:r>
              <w:t>Остаток ссудной задолженности на конец расчетного периода (указывается в иностранной валюте) &lt;16&gt;</w:t>
            </w:r>
          </w:p>
        </w:tc>
        <w:tc>
          <w:tcPr>
            <w:tcW w:type="dxa" w:w="511"/>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9D020000">
            <w:pPr>
              <w:widowControl w:val="0"/>
              <w:spacing w:before="0" w:line="240" w:lineRule="auto"/>
              <w:ind w:firstLine="0" w:left="0"/>
              <w:jc w:val="center"/>
            </w:pPr>
            <w:r>
              <w:t>Количество дней пользования кредитом (займом) в расчетном периоде &lt;17&gt;</w:t>
            </w:r>
          </w:p>
        </w:tc>
        <w:tc>
          <w:tcPr>
            <w:tcW w:type="dxa" w:w="543"/>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9E020000">
            <w:pPr>
              <w:widowControl w:val="0"/>
              <w:spacing w:before="0" w:line="240" w:lineRule="auto"/>
              <w:ind w:firstLine="0" w:left="0"/>
              <w:jc w:val="center"/>
            </w:pPr>
            <w:r>
              <w:t>Процентная ставка по кредиту (займу)</w:t>
            </w:r>
          </w:p>
        </w:tc>
        <w:tc>
          <w:tcPr>
            <w:tcW w:type="dxa" w:w="671"/>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9F020000">
            <w:pPr>
              <w:widowControl w:val="0"/>
              <w:spacing w:before="0" w:line="240" w:lineRule="auto"/>
              <w:ind w:firstLine="0" w:left="0"/>
              <w:jc w:val="center"/>
            </w:pPr>
            <w:r>
              <w:t>Ключевая ставка Центрального банка Российской Федерации на дату уплаты процентов по кредиту (займу)</w:t>
            </w:r>
          </w:p>
        </w:tc>
        <w:tc>
          <w:tcPr>
            <w:tcW w:type="dxa" w:w="1086"/>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A0020000">
            <w:pPr>
              <w:widowControl w:val="0"/>
              <w:spacing w:before="0" w:line="240" w:lineRule="auto"/>
              <w:ind w:firstLine="0" w:left="0"/>
              <w:jc w:val="center"/>
            </w:pPr>
            <w:r>
              <w:t>Курс иностранной валюты по отношению к рублю, установленный Центральным банком Российской Федерации на фактическую дату уплаты организацией процентов по кредиту (займу)</w:t>
            </w:r>
          </w:p>
        </w:tc>
        <w:tc>
          <w:tcPr>
            <w:tcW w:type="dxa" w:w="1820"/>
            <w:tcBorders>
              <w:top w:color="000000" w:sz="4" w:val="single"/>
              <w:left w:color="000000" w:sz="4" w:val="single"/>
              <w:right w:color="000000" w:sz="4" w:val="single"/>
            </w:tcBorders>
            <w:tcMar>
              <w:top w:type="dxa" w:w="0"/>
              <w:left w:type="dxa" w:w="0"/>
              <w:bottom w:type="dxa" w:w="0"/>
              <w:right w:type="dxa" w:w="0"/>
            </w:tcMar>
          </w:tcPr>
          <w:p w14:paraId="A1020000">
            <w:pPr>
              <w:widowControl w:val="0"/>
              <w:spacing w:before="0" w:line="240" w:lineRule="auto"/>
              <w:ind w:firstLine="0" w:left="0"/>
              <w:jc w:val="center"/>
            </w:pPr>
            <w:r>
              <w:t>Объем затрат (рублей)</w:t>
            </w:r>
          </w:p>
        </w:tc>
        <w:tc>
          <w:tcPr>
            <w:tcW w:type="dxa" w:w="2332"/>
            <w:vMerge w:val="restart"/>
            <w:tcBorders>
              <w:top w:color="000000" w:sz="4" w:val="single"/>
              <w:left w:color="000000" w:sz="4" w:val="single"/>
              <w:right w:color="000000" w:sz="4" w:val="single"/>
            </w:tcBorders>
            <w:tcMar>
              <w:top w:type="dxa" w:w="0"/>
              <w:left w:type="dxa" w:w="0"/>
              <w:bottom w:type="dxa" w:w="0"/>
              <w:right w:type="dxa" w:w="0"/>
            </w:tcMar>
          </w:tcPr>
          <w:p w14:paraId="A2020000">
            <w:pPr>
              <w:widowControl w:val="0"/>
              <w:spacing w:before="0" w:line="240" w:lineRule="auto"/>
              <w:ind w:firstLine="0" w:left="0"/>
              <w:jc w:val="center"/>
            </w:pPr>
            <w:r>
              <w:t>Расчетный объем затрат (рублей)</w:t>
            </w:r>
          </w:p>
        </w:tc>
        <w:tc>
          <w:tcPr>
            <w:tcW w:type="dxa" w:w="894"/>
            <w:vMerge w:val="restart"/>
            <w:tcBorders>
              <w:top w:color="000000" w:sz="4" w:val="single"/>
              <w:left w:color="000000" w:sz="4" w:val="single"/>
              <w:bottom w:color="000000" w:sz="4" w:val="single"/>
              <w:right w:color="000000" w:sz="4" w:val="single"/>
            </w:tcBorders>
            <w:tcMar>
              <w:top w:type="dxa" w:w="0"/>
              <w:left w:type="dxa" w:w="0"/>
              <w:bottom w:type="dxa" w:w="0"/>
              <w:right w:type="dxa" w:w="0"/>
            </w:tcMar>
          </w:tcPr>
          <w:p w14:paraId="A3020000">
            <w:pPr>
              <w:widowControl w:val="0"/>
              <w:spacing w:before="0" w:line="240" w:lineRule="auto"/>
              <w:ind w:firstLine="0" w:left="0"/>
              <w:jc w:val="center"/>
            </w:pPr>
            <w:r>
              <w:t>Объем фактически понесенных затрат на уплату процентов по кредитам и займам (минимальное значение из величин, указанных в гр. 7 и 8), рублей</w:t>
            </w:r>
          </w:p>
        </w:tc>
      </w:tr>
      <w:tr>
        <w:tc>
          <w:tcPr>
            <w:tcW w:type="dxa" w:w="400"/>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671"/>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511"/>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543"/>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671"/>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1086"/>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1820"/>
            <w:vMerge w:val="restart"/>
            <w:tcBorders>
              <w:left w:color="000000" w:sz="4" w:val="single"/>
              <w:bottom w:color="000000" w:sz="4" w:val="single"/>
              <w:right w:color="000000" w:sz="4" w:val="single"/>
            </w:tcBorders>
            <w:tcMar>
              <w:top w:type="dxa" w:w="0"/>
              <w:left w:type="dxa" w:w="0"/>
              <w:bottom w:type="dxa" w:w="0"/>
              <w:right w:type="dxa" w:w="0"/>
            </w:tcMar>
          </w:tcPr>
          <w:p w14:paraId="A4020000">
            <w:pPr>
              <w:widowControl w:val="0"/>
              <w:spacing w:before="0" w:line="240" w:lineRule="auto"/>
              <w:ind w:firstLine="0" w:left="0"/>
              <w:jc w:val="center"/>
            </w:pPr>
            <w:r>
              <w:drawing>
                <wp:inline>
                  <wp:extent cx="1155700" cy="237938"/>
                  <wp:effectExtent b="0" l="0" r="0" t="0"/>
                  <wp:docPr hidden="false" id="22" name="Picture 22"/>
                  <a:graphic>
                    <a:graphicData uri="http://schemas.openxmlformats.org/drawingml/2006/picture">
                      <pic:pic>
                        <pic:nvPicPr>
                          <pic:cNvPr hidden="false" id="21" name="Picture 21"/>
                          <pic:cNvPicPr preferRelativeResize="true"/>
                        </pic:nvPicPr>
                        <pic:blipFill>
                          <a:blip r:embed="rId12"/>
                          <a:stretch/>
                        </pic:blipFill>
                        <pic:spPr>
                          <a:xfrm flipH="false" flipV="false" rot="0">
                            <a:ext cx="1155700" cy="237938"/>
                          </a:xfrm>
                          <a:prstGeom prst="rect"/>
                        </pic:spPr>
                      </pic:pic>
                    </a:graphicData>
                  </a:graphic>
                </wp:inline>
              </w:drawing>
            </w:r>
          </w:p>
        </w:tc>
        <w:tc>
          <w:tcPr>
            <w:tcW w:type="dxa" w:w="2332"/>
            <w:gridSpan w:val="1"/>
            <w:vMerge w:val="continue"/>
            <w:tcBorders>
              <w:top w:color="000000" w:sz="4" w:val="single"/>
              <w:left w:color="000000" w:sz="4" w:val="single"/>
              <w:right w:color="000000" w:sz="4" w:val="single"/>
            </w:tcBorders>
            <w:tcMar>
              <w:top w:type="dxa" w:w="0"/>
              <w:left w:type="dxa" w:w="0"/>
              <w:bottom w:type="dxa" w:w="0"/>
              <w:right w:type="dxa" w:w="0"/>
            </w:tcMar>
          </w:tcPr>
          <w:p/>
        </w:tc>
        <w:tc>
          <w:tcPr>
            <w:tcW w:type="dxa" w:w="894"/>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r>
      <w:tr>
        <w:tc>
          <w:tcPr>
            <w:tcW w:type="dxa" w:w="400"/>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671"/>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511"/>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543"/>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671"/>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1086"/>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c>
          <w:tcPr>
            <w:tcW w:type="dxa" w:w="1820"/>
            <w:gridSpan w:val="1"/>
            <w:vMerge w:val="continue"/>
            <w:tcBorders>
              <w:left w:color="000000" w:sz="4" w:val="single"/>
              <w:bottom w:color="000000" w:sz="4" w:val="single"/>
              <w:right w:color="000000" w:sz="4" w:val="single"/>
            </w:tcBorders>
            <w:tcMar>
              <w:top w:type="dxa" w:w="0"/>
              <w:left w:type="dxa" w:w="0"/>
              <w:bottom w:type="dxa" w:w="0"/>
              <w:right w:type="dxa" w:w="0"/>
            </w:tcMar>
          </w:tcPr>
          <w:p/>
        </w:tc>
        <w:tc>
          <w:tcPr>
            <w:tcW w:type="dxa" w:w="2332"/>
            <w:tcBorders>
              <w:left w:color="000000" w:sz="4" w:val="single"/>
              <w:bottom w:color="000000" w:sz="4" w:val="single"/>
              <w:right w:color="000000" w:sz="4" w:val="single"/>
            </w:tcBorders>
            <w:tcMar>
              <w:top w:type="dxa" w:w="0"/>
              <w:left w:type="dxa" w:w="0"/>
              <w:bottom w:type="dxa" w:w="0"/>
              <w:right w:type="dxa" w:w="0"/>
            </w:tcMar>
          </w:tcPr>
          <w:p w14:paraId="A5020000">
            <w:pPr>
              <w:widowControl w:val="0"/>
              <w:spacing w:before="0" w:line="240" w:lineRule="auto"/>
              <w:ind w:firstLine="0" w:left="0"/>
              <w:jc w:val="center"/>
            </w:pPr>
            <w:r>
              <w:drawing>
                <wp:inline>
                  <wp:extent cx="1480820" cy="245778"/>
                  <wp:effectExtent b="0" l="0" r="0" t="0"/>
                  <wp:docPr hidden="false" id="24" name="Picture 24"/>
                  <a:graphic>
                    <a:graphicData uri="http://schemas.openxmlformats.org/drawingml/2006/picture">
                      <pic:pic>
                        <pic:nvPicPr>
                          <pic:cNvPr hidden="false" id="23" name="Picture 23"/>
                          <pic:cNvPicPr preferRelativeResize="true"/>
                        </pic:nvPicPr>
                        <pic:blipFill>
                          <a:blip r:embed="rId13"/>
                          <a:stretch/>
                        </pic:blipFill>
                        <pic:spPr>
                          <a:xfrm flipH="false" flipV="false" rot="0">
                            <a:ext cx="1480820" cy="245778"/>
                          </a:xfrm>
                          <a:prstGeom prst="rect"/>
                        </pic:spPr>
                      </pic:pic>
                    </a:graphicData>
                  </a:graphic>
                </wp:inline>
              </w:drawing>
            </w:r>
          </w:p>
        </w:tc>
        <w:tc>
          <w:tcPr>
            <w:tcW w:type="dxa" w:w="894"/>
            <w:gridSpan w:val="1"/>
            <w:vMerge w:val="continue"/>
            <w:tcBorders>
              <w:top w:color="000000" w:sz="4" w:val="single"/>
              <w:left w:color="000000" w:sz="4" w:val="single"/>
              <w:bottom w:color="000000" w:sz="4" w:val="single"/>
              <w:right w:color="000000" w:sz="4" w:val="single"/>
            </w:tcBorders>
            <w:tcMar>
              <w:top w:type="dxa" w:w="0"/>
              <w:left w:type="dxa" w:w="0"/>
              <w:bottom w:type="dxa" w:w="0"/>
              <w:right w:type="dxa" w:w="0"/>
            </w:tcMar>
          </w:tcPr>
          <w:p/>
        </w:tc>
      </w:tr>
      <w:tr>
        <w:tc>
          <w:tcPr>
            <w:tcW w:type="dxa" w:w="400"/>
            <w:tcBorders>
              <w:top w:color="000000" w:sz="4" w:val="single"/>
              <w:left w:color="000000" w:sz="4" w:val="single"/>
              <w:bottom w:color="000000" w:sz="4" w:val="single"/>
              <w:right w:color="000000" w:sz="4" w:val="single"/>
            </w:tcBorders>
            <w:tcMar>
              <w:top w:type="dxa" w:w="0"/>
              <w:left w:type="dxa" w:w="0"/>
              <w:bottom w:type="dxa" w:w="0"/>
              <w:right w:type="dxa" w:w="0"/>
            </w:tcMar>
          </w:tcPr>
          <w:p w14:paraId="A6020000">
            <w:pPr>
              <w:widowControl w:val="0"/>
              <w:spacing w:before="0" w:line="240" w:lineRule="auto"/>
              <w:ind w:firstLine="0" w:left="0"/>
              <w:jc w:val="center"/>
            </w:pPr>
            <w:r>
              <w:t>1</w:t>
            </w:r>
          </w:p>
        </w:tc>
        <w:tc>
          <w:tcPr>
            <w:tcW w:type="dxa" w:w="671"/>
            <w:tcBorders>
              <w:top w:color="000000" w:sz="4" w:val="single"/>
              <w:left w:color="000000" w:sz="4" w:val="single"/>
              <w:bottom w:color="000000" w:sz="4" w:val="single"/>
              <w:right w:color="000000" w:sz="4" w:val="single"/>
            </w:tcBorders>
            <w:tcMar>
              <w:top w:type="dxa" w:w="0"/>
              <w:left w:type="dxa" w:w="0"/>
              <w:bottom w:type="dxa" w:w="0"/>
              <w:right w:type="dxa" w:w="0"/>
            </w:tcMar>
          </w:tcPr>
          <w:p w14:paraId="A7020000">
            <w:pPr>
              <w:widowControl w:val="0"/>
              <w:spacing w:before="0" w:line="240" w:lineRule="auto"/>
              <w:ind w:firstLine="0" w:left="0"/>
              <w:jc w:val="center"/>
            </w:pPr>
            <w:r>
              <w:t>2</w:t>
            </w:r>
          </w:p>
        </w:tc>
        <w:tc>
          <w:tcPr>
            <w:tcW w:type="dxa" w:w="511"/>
            <w:tcBorders>
              <w:top w:color="000000" w:sz="4" w:val="single"/>
              <w:left w:color="000000" w:sz="4" w:val="single"/>
              <w:bottom w:color="000000" w:sz="4" w:val="single"/>
              <w:right w:color="000000" w:sz="4" w:val="single"/>
            </w:tcBorders>
            <w:tcMar>
              <w:top w:type="dxa" w:w="0"/>
              <w:left w:type="dxa" w:w="0"/>
              <w:bottom w:type="dxa" w:w="0"/>
              <w:right w:type="dxa" w:w="0"/>
            </w:tcMar>
          </w:tcPr>
          <w:p w14:paraId="A8020000">
            <w:pPr>
              <w:widowControl w:val="0"/>
              <w:spacing w:before="0" w:line="240" w:lineRule="auto"/>
              <w:ind w:firstLine="0" w:left="0"/>
              <w:jc w:val="center"/>
            </w:pPr>
            <w:r>
              <w:t>3</w:t>
            </w:r>
          </w:p>
        </w:tc>
        <w:tc>
          <w:tcPr>
            <w:tcW w:type="dxa" w:w="543"/>
            <w:tcBorders>
              <w:top w:color="000000" w:sz="4" w:val="single"/>
              <w:left w:color="000000" w:sz="4" w:val="single"/>
              <w:bottom w:color="000000" w:sz="4" w:val="single"/>
              <w:right w:color="000000" w:sz="4" w:val="single"/>
            </w:tcBorders>
            <w:tcMar>
              <w:top w:type="dxa" w:w="0"/>
              <w:left w:type="dxa" w:w="0"/>
              <w:bottom w:type="dxa" w:w="0"/>
              <w:right w:type="dxa" w:w="0"/>
            </w:tcMar>
          </w:tcPr>
          <w:p w14:paraId="A9020000">
            <w:pPr>
              <w:widowControl w:val="0"/>
              <w:spacing w:before="0" w:line="240" w:lineRule="auto"/>
              <w:ind w:firstLine="0" w:left="0"/>
              <w:jc w:val="center"/>
            </w:pPr>
            <w:r>
              <w:t>4</w:t>
            </w:r>
          </w:p>
        </w:tc>
        <w:tc>
          <w:tcPr>
            <w:tcW w:type="dxa" w:w="671"/>
            <w:tcBorders>
              <w:top w:color="000000" w:sz="4" w:val="single"/>
              <w:left w:color="000000" w:sz="4" w:val="single"/>
              <w:bottom w:color="000000" w:sz="4" w:val="single"/>
              <w:right w:color="000000" w:sz="4" w:val="single"/>
            </w:tcBorders>
            <w:tcMar>
              <w:top w:type="dxa" w:w="0"/>
              <w:left w:type="dxa" w:w="0"/>
              <w:bottom w:type="dxa" w:w="0"/>
              <w:right w:type="dxa" w:w="0"/>
            </w:tcMar>
          </w:tcPr>
          <w:p w14:paraId="AA020000">
            <w:pPr>
              <w:widowControl w:val="0"/>
              <w:spacing w:before="0" w:line="240" w:lineRule="auto"/>
              <w:ind w:firstLine="0" w:left="0"/>
              <w:jc w:val="center"/>
            </w:pPr>
            <w:r>
              <w:t>5</w:t>
            </w:r>
          </w:p>
        </w:tc>
        <w:tc>
          <w:tcPr>
            <w:tcW w:type="dxa" w:w="1086"/>
            <w:tcBorders>
              <w:top w:color="000000" w:sz="4" w:val="single"/>
              <w:left w:color="000000" w:sz="4" w:val="single"/>
              <w:bottom w:color="000000" w:sz="4" w:val="single"/>
              <w:right w:color="000000" w:sz="4" w:val="single"/>
            </w:tcBorders>
            <w:tcMar>
              <w:top w:type="dxa" w:w="0"/>
              <w:left w:type="dxa" w:w="0"/>
              <w:bottom w:type="dxa" w:w="0"/>
              <w:right w:type="dxa" w:w="0"/>
            </w:tcMar>
          </w:tcPr>
          <w:p w14:paraId="AB020000">
            <w:pPr>
              <w:widowControl w:val="0"/>
              <w:spacing w:before="0" w:line="240" w:lineRule="auto"/>
              <w:ind w:firstLine="0" w:left="0"/>
              <w:jc w:val="center"/>
            </w:pPr>
            <w:r>
              <w:t>6</w:t>
            </w:r>
          </w:p>
        </w:tc>
        <w:tc>
          <w:tcPr>
            <w:tcW w:type="dxa" w:w="1820"/>
            <w:tcBorders>
              <w:top w:color="000000" w:sz="4" w:val="single"/>
              <w:left w:color="000000" w:sz="4" w:val="single"/>
              <w:bottom w:color="000000" w:sz="4" w:val="single"/>
              <w:right w:color="000000" w:sz="4" w:val="single"/>
            </w:tcBorders>
            <w:tcMar>
              <w:top w:type="dxa" w:w="0"/>
              <w:left w:type="dxa" w:w="0"/>
              <w:bottom w:type="dxa" w:w="0"/>
              <w:right w:type="dxa" w:w="0"/>
            </w:tcMar>
          </w:tcPr>
          <w:p w14:paraId="AC020000">
            <w:pPr>
              <w:widowControl w:val="0"/>
              <w:spacing w:before="0" w:line="240" w:lineRule="auto"/>
              <w:ind w:firstLine="0" w:left="0"/>
              <w:jc w:val="center"/>
            </w:pPr>
            <w:r>
              <w:t>7</w:t>
            </w:r>
          </w:p>
        </w:tc>
        <w:tc>
          <w:tcPr>
            <w:tcW w:type="dxa" w:w="2332"/>
            <w:tcBorders>
              <w:top w:color="000000" w:sz="4" w:val="single"/>
              <w:left w:color="000000" w:sz="4" w:val="single"/>
              <w:bottom w:color="000000" w:sz="4" w:val="single"/>
              <w:right w:color="000000" w:sz="4" w:val="single"/>
            </w:tcBorders>
            <w:tcMar>
              <w:top w:type="dxa" w:w="0"/>
              <w:left w:type="dxa" w:w="0"/>
              <w:bottom w:type="dxa" w:w="0"/>
              <w:right w:type="dxa" w:w="0"/>
            </w:tcMar>
          </w:tcPr>
          <w:p w14:paraId="AD020000">
            <w:pPr>
              <w:widowControl w:val="0"/>
              <w:spacing w:before="0" w:line="240" w:lineRule="auto"/>
              <w:ind w:firstLine="0" w:left="0"/>
              <w:jc w:val="center"/>
            </w:pPr>
            <w:r>
              <w:t>8</w:t>
            </w:r>
          </w:p>
        </w:tc>
        <w:tc>
          <w:tcPr>
            <w:tcW w:type="dxa" w:w="894"/>
            <w:tcBorders>
              <w:top w:color="000000" w:sz="4" w:val="single"/>
              <w:left w:color="000000" w:sz="4" w:val="single"/>
              <w:bottom w:color="000000" w:sz="4" w:val="single"/>
              <w:right w:color="000000" w:sz="4" w:val="single"/>
            </w:tcBorders>
            <w:tcMar>
              <w:top w:type="dxa" w:w="0"/>
              <w:left w:type="dxa" w:w="0"/>
              <w:bottom w:type="dxa" w:w="0"/>
              <w:right w:type="dxa" w:w="0"/>
            </w:tcMar>
          </w:tcPr>
          <w:p w14:paraId="AE020000">
            <w:pPr>
              <w:widowControl w:val="0"/>
              <w:spacing w:before="0" w:line="240" w:lineRule="auto"/>
              <w:ind w:firstLine="0" w:left="0"/>
              <w:jc w:val="center"/>
            </w:pPr>
            <w:r>
              <w:t>9</w:t>
            </w:r>
          </w:p>
        </w:tc>
      </w:tr>
      <w:tr>
        <w:tc>
          <w:tcPr>
            <w:tcW w:type="dxa" w:w="400"/>
            <w:tcBorders>
              <w:top w:color="000000" w:sz="4" w:val="single"/>
              <w:left w:color="000000" w:sz="4" w:val="single"/>
              <w:bottom w:color="000000" w:sz="4" w:val="single"/>
              <w:right w:color="000000" w:sz="4" w:val="single"/>
            </w:tcBorders>
            <w:tcMar>
              <w:top w:type="dxa" w:w="0"/>
              <w:left w:type="dxa" w:w="0"/>
              <w:bottom w:type="dxa" w:w="0"/>
              <w:right w:type="dxa" w:w="0"/>
            </w:tcMar>
          </w:tcPr>
          <w:p w14:paraId="AF020000">
            <w:pPr>
              <w:widowControl w:val="0"/>
              <w:spacing w:before="0" w:line="240" w:lineRule="auto"/>
              <w:ind w:firstLine="0" w:left="0"/>
              <w:jc w:val="left"/>
            </w:pPr>
          </w:p>
        </w:tc>
        <w:tc>
          <w:tcPr>
            <w:tcW w:type="dxa" w:w="671"/>
            <w:tcBorders>
              <w:top w:color="000000" w:sz="4" w:val="single"/>
              <w:left w:color="000000" w:sz="4" w:val="single"/>
              <w:bottom w:color="000000" w:sz="4" w:val="single"/>
              <w:right w:color="000000" w:sz="4" w:val="single"/>
            </w:tcBorders>
            <w:tcMar>
              <w:top w:type="dxa" w:w="0"/>
              <w:left w:type="dxa" w:w="0"/>
              <w:bottom w:type="dxa" w:w="0"/>
              <w:right w:type="dxa" w:w="0"/>
            </w:tcMar>
          </w:tcPr>
          <w:p w14:paraId="B0020000">
            <w:pPr>
              <w:widowControl w:val="0"/>
              <w:spacing w:before="0" w:line="240" w:lineRule="auto"/>
              <w:ind w:firstLine="0" w:left="0"/>
              <w:jc w:val="left"/>
            </w:pPr>
          </w:p>
        </w:tc>
        <w:tc>
          <w:tcPr>
            <w:tcW w:type="dxa" w:w="511"/>
            <w:tcBorders>
              <w:top w:color="000000" w:sz="4" w:val="single"/>
              <w:left w:color="000000" w:sz="4" w:val="single"/>
              <w:bottom w:color="000000" w:sz="4" w:val="single"/>
              <w:right w:color="000000" w:sz="4" w:val="single"/>
            </w:tcBorders>
            <w:tcMar>
              <w:top w:type="dxa" w:w="0"/>
              <w:left w:type="dxa" w:w="0"/>
              <w:bottom w:type="dxa" w:w="0"/>
              <w:right w:type="dxa" w:w="0"/>
            </w:tcMar>
          </w:tcPr>
          <w:p w14:paraId="B1020000">
            <w:pPr>
              <w:widowControl w:val="0"/>
              <w:spacing w:before="0" w:line="240" w:lineRule="auto"/>
              <w:ind w:firstLine="0" w:left="0"/>
              <w:jc w:val="left"/>
            </w:pPr>
          </w:p>
        </w:tc>
        <w:tc>
          <w:tcPr>
            <w:tcW w:type="dxa" w:w="543"/>
            <w:tcBorders>
              <w:top w:color="000000" w:sz="4" w:val="single"/>
              <w:left w:color="000000" w:sz="4" w:val="single"/>
              <w:bottom w:color="000000" w:sz="4" w:val="single"/>
              <w:right w:color="000000" w:sz="4" w:val="single"/>
            </w:tcBorders>
            <w:tcMar>
              <w:top w:type="dxa" w:w="0"/>
              <w:left w:type="dxa" w:w="0"/>
              <w:bottom w:type="dxa" w:w="0"/>
              <w:right w:type="dxa" w:w="0"/>
            </w:tcMar>
          </w:tcPr>
          <w:p w14:paraId="B2020000">
            <w:pPr>
              <w:widowControl w:val="0"/>
              <w:spacing w:before="0" w:line="240" w:lineRule="auto"/>
              <w:ind w:firstLine="0" w:left="0"/>
              <w:jc w:val="left"/>
            </w:pPr>
          </w:p>
        </w:tc>
        <w:tc>
          <w:tcPr>
            <w:tcW w:type="dxa" w:w="671"/>
            <w:tcBorders>
              <w:top w:color="000000" w:sz="4" w:val="single"/>
              <w:left w:color="000000" w:sz="4" w:val="single"/>
              <w:bottom w:color="000000" w:sz="4" w:val="single"/>
              <w:right w:color="000000" w:sz="4" w:val="single"/>
            </w:tcBorders>
            <w:tcMar>
              <w:top w:type="dxa" w:w="0"/>
              <w:left w:type="dxa" w:w="0"/>
              <w:bottom w:type="dxa" w:w="0"/>
              <w:right w:type="dxa" w:w="0"/>
            </w:tcMar>
          </w:tcPr>
          <w:p w14:paraId="B3020000">
            <w:pPr>
              <w:widowControl w:val="0"/>
              <w:spacing w:before="0" w:line="240" w:lineRule="auto"/>
              <w:ind w:firstLine="0" w:left="0"/>
              <w:jc w:val="left"/>
            </w:pPr>
          </w:p>
        </w:tc>
        <w:tc>
          <w:tcPr>
            <w:tcW w:type="dxa" w:w="1086"/>
            <w:tcBorders>
              <w:top w:color="000000" w:sz="4" w:val="single"/>
              <w:left w:color="000000" w:sz="4" w:val="single"/>
              <w:bottom w:color="000000" w:sz="4" w:val="single"/>
              <w:right w:color="000000" w:sz="4" w:val="single"/>
            </w:tcBorders>
            <w:tcMar>
              <w:top w:type="dxa" w:w="0"/>
              <w:left w:type="dxa" w:w="0"/>
              <w:bottom w:type="dxa" w:w="0"/>
              <w:right w:type="dxa" w:w="0"/>
            </w:tcMar>
          </w:tcPr>
          <w:p w14:paraId="B4020000">
            <w:pPr>
              <w:widowControl w:val="0"/>
              <w:spacing w:before="0" w:line="240" w:lineRule="auto"/>
              <w:ind w:firstLine="0" w:left="0"/>
              <w:jc w:val="left"/>
            </w:pPr>
          </w:p>
        </w:tc>
        <w:tc>
          <w:tcPr>
            <w:tcW w:type="dxa" w:w="1820"/>
            <w:tcBorders>
              <w:top w:color="000000" w:sz="4" w:val="single"/>
              <w:left w:color="000000" w:sz="4" w:val="single"/>
              <w:bottom w:color="000000" w:sz="4" w:val="single"/>
              <w:right w:color="000000" w:sz="4" w:val="single"/>
            </w:tcBorders>
            <w:tcMar>
              <w:top w:type="dxa" w:w="0"/>
              <w:left w:type="dxa" w:w="0"/>
              <w:bottom w:type="dxa" w:w="0"/>
              <w:right w:type="dxa" w:w="0"/>
            </w:tcMar>
          </w:tcPr>
          <w:p w14:paraId="B5020000">
            <w:pPr>
              <w:widowControl w:val="0"/>
              <w:spacing w:before="0" w:line="240" w:lineRule="auto"/>
              <w:ind w:firstLine="0" w:left="0"/>
              <w:jc w:val="left"/>
            </w:pPr>
          </w:p>
        </w:tc>
        <w:tc>
          <w:tcPr>
            <w:tcW w:type="dxa" w:w="2332"/>
            <w:tcBorders>
              <w:top w:color="000000" w:sz="4" w:val="single"/>
              <w:left w:color="000000" w:sz="4" w:val="single"/>
              <w:bottom w:color="000000" w:sz="4" w:val="single"/>
              <w:right w:color="000000" w:sz="4" w:val="single"/>
            </w:tcBorders>
            <w:tcMar>
              <w:top w:type="dxa" w:w="0"/>
              <w:left w:type="dxa" w:w="0"/>
              <w:bottom w:type="dxa" w:w="0"/>
              <w:right w:type="dxa" w:w="0"/>
            </w:tcMar>
          </w:tcPr>
          <w:p w14:paraId="B6020000">
            <w:pPr>
              <w:widowControl w:val="0"/>
              <w:spacing w:before="0" w:line="240" w:lineRule="auto"/>
              <w:ind w:firstLine="0" w:left="0"/>
              <w:jc w:val="left"/>
            </w:pPr>
          </w:p>
        </w:tc>
        <w:tc>
          <w:tcPr>
            <w:tcW w:type="dxa" w:w="894"/>
            <w:tcBorders>
              <w:top w:color="000000" w:sz="4" w:val="single"/>
              <w:left w:color="000000" w:sz="4" w:val="single"/>
              <w:bottom w:color="000000" w:sz="4" w:val="single"/>
              <w:right w:color="000000" w:sz="4" w:val="single"/>
            </w:tcBorders>
            <w:tcMar>
              <w:top w:type="dxa" w:w="0"/>
              <w:left w:type="dxa" w:w="0"/>
              <w:bottom w:type="dxa" w:w="0"/>
              <w:right w:type="dxa" w:w="0"/>
            </w:tcMar>
          </w:tcPr>
          <w:p w14:paraId="B7020000">
            <w:pPr>
              <w:widowControl w:val="0"/>
              <w:spacing w:before="0" w:line="240" w:lineRule="auto"/>
              <w:ind w:firstLine="0" w:left="0"/>
              <w:jc w:val="left"/>
            </w:pPr>
          </w:p>
        </w:tc>
      </w:tr>
    </w:tbl>
    <w:p w14:paraId="B8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8929"/>
      </w:tblGrid>
      <w:tr>
        <w:tc>
          <w:tcPr>
            <w:tcW w:type="dxa" w:w="8929"/>
            <w:tcMar>
              <w:top w:type="dxa" w:w="0"/>
              <w:left w:type="dxa" w:w="0"/>
              <w:bottom w:type="dxa" w:w="0"/>
              <w:right w:type="dxa" w:w="0"/>
            </w:tcMar>
          </w:tcPr>
          <w:p w14:paraId="B9020000">
            <w:pPr>
              <w:widowControl w:val="0"/>
              <w:spacing w:before="0" w:line="240" w:lineRule="auto"/>
              <w:ind w:firstLine="283" w:left="0"/>
              <w:jc w:val="both"/>
            </w:pPr>
            <w:r>
              <w:t>Объем фактически понесенных затрат &lt;18&gt;: _____________________ рублей (сумма показателей графы 9)</w:t>
            </w:r>
          </w:p>
        </w:tc>
      </w:tr>
    </w:tbl>
    <w:p w14:paraId="BA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3013"/>
        <w:gridCol w:w="1953"/>
        <w:gridCol w:w="335"/>
        <w:gridCol w:w="3628"/>
      </w:tblGrid>
      <w:tr>
        <w:tc>
          <w:tcPr>
            <w:tcW w:type="dxa" w:w="3013"/>
            <w:tcMar>
              <w:top w:type="dxa" w:w="0"/>
              <w:left w:type="dxa" w:w="0"/>
              <w:bottom w:type="dxa" w:w="0"/>
              <w:right w:type="dxa" w:w="0"/>
            </w:tcMar>
            <w:vAlign w:val="bottom"/>
          </w:tcPr>
          <w:p w14:paraId="BB020000">
            <w:pPr>
              <w:widowControl w:val="0"/>
              <w:spacing w:before="0" w:line="240" w:lineRule="auto"/>
              <w:ind w:firstLine="0" w:left="0"/>
              <w:jc w:val="left"/>
            </w:pPr>
            <w:r>
              <w:t>Руководитель организации</w:t>
            </w:r>
          </w:p>
        </w:tc>
        <w:tc>
          <w:tcPr>
            <w:tcW w:type="dxa" w:w="1953"/>
            <w:tcBorders>
              <w:bottom w:color="000000" w:sz="4" w:val="single"/>
            </w:tcBorders>
            <w:tcMar>
              <w:top w:type="dxa" w:w="0"/>
              <w:left w:type="dxa" w:w="0"/>
              <w:bottom w:type="dxa" w:w="0"/>
              <w:right w:type="dxa" w:w="0"/>
            </w:tcMar>
          </w:tcPr>
          <w:p w14:paraId="BC020000">
            <w:pPr>
              <w:widowControl w:val="0"/>
              <w:spacing w:before="0" w:line="240" w:lineRule="auto"/>
              <w:ind w:firstLine="0" w:left="0"/>
              <w:jc w:val="left"/>
            </w:pPr>
          </w:p>
        </w:tc>
        <w:tc>
          <w:tcPr>
            <w:tcW w:type="dxa" w:w="335"/>
            <w:tcMar>
              <w:top w:type="dxa" w:w="0"/>
              <w:left w:type="dxa" w:w="0"/>
              <w:bottom w:type="dxa" w:w="0"/>
              <w:right w:type="dxa" w:w="0"/>
            </w:tcMar>
          </w:tcPr>
          <w:p w14:paraId="BD020000">
            <w:pPr>
              <w:widowControl w:val="0"/>
              <w:spacing w:before="0" w:line="240" w:lineRule="auto"/>
              <w:ind w:firstLine="0" w:left="0"/>
              <w:jc w:val="left"/>
            </w:pPr>
          </w:p>
        </w:tc>
        <w:tc>
          <w:tcPr>
            <w:tcW w:type="dxa" w:w="3628"/>
            <w:tcBorders>
              <w:bottom w:color="000000" w:sz="4" w:val="single"/>
            </w:tcBorders>
            <w:tcMar>
              <w:top w:type="dxa" w:w="0"/>
              <w:left w:type="dxa" w:w="0"/>
              <w:bottom w:type="dxa" w:w="0"/>
              <w:right w:type="dxa" w:w="0"/>
            </w:tcMar>
          </w:tcPr>
          <w:p w14:paraId="BE020000">
            <w:pPr>
              <w:widowControl w:val="0"/>
              <w:spacing w:before="0" w:line="240" w:lineRule="auto"/>
              <w:ind w:firstLine="0" w:left="0"/>
              <w:jc w:val="left"/>
            </w:pPr>
          </w:p>
        </w:tc>
      </w:tr>
      <w:tr>
        <w:tc>
          <w:tcPr>
            <w:tcW w:type="dxa" w:w="3013"/>
            <w:tcMar>
              <w:top w:type="dxa" w:w="0"/>
              <w:left w:type="dxa" w:w="0"/>
              <w:bottom w:type="dxa" w:w="0"/>
              <w:right w:type="dxa" w:w="0"/>
            </w:tcMar>
          </w:tcPr>
          <w:p w14:paraId="BF020000">
            <w:pPr>
              <w:widowControl w:val="0"/>
              <w:spacing w:before="0" w:line="240" w:lineRule="auto"/>
              <w:ind w:firstLine="0" w:left="0"/>
              <w:jc w:val="left"/>
            </w:pPr>
          </w:p>
        </w:tc>
        <w:tc>
          <w:tcPr>
            <w:tcW w:type="dxa" w:w="1953"/>
            <w:tcBorders>
              <w:top w:color="000000" w:sz="4" w:val="single"/>
            </w:tcBorders>
            <w:tcMar>
              <w:top w:type="dxa" w:w="0"/>
              <w:left w:type="dxa" w:w="0"/>
              <w:bottom w:type="dxa" w:w="0"/>
              <w:right w:type="dxa" w:w="0"/>
            </w:tcMar>
          </w:tcPr>
          <w:p w14:paraId="C0020000">
            <w:pPr>
              <w:widowControl w:val="0"/>
              <w:spacing w:before="0" w:line="240" w:lineRule="auto"/>
              <w:ind w:firstLine="0" w:left="0"/>
              <w:jc w:val="center"/>
            </w:pPr>
            <w:r>
              <w:t>(подпись)</w:t>
            </w:r>
          </w:p>
        </w:tc>
        <w:tc>
          <w:tcPr>
            <w:tcW w:type="dxa" w:w="335"/>
            <w:tcMar>
              <w:top w:type="dxa" w:w="0"/>
              <w:left w:type="dxa" w:w="0"/>
              <w:bottom w:type="dxa" w:w="0"/>
              <w:right w:type="dxa" w:w="0"/>
            </w:tcMar>
          </w:tcPr>
          <w:p w14:paraId="C1020000">
            <w:pPr>
              <w:widowControl w:val="0"/>
              <w:spacing w:before="0" w:line="240" w:lineRule="auto"/>
              <w:ind w:firstLine="0" w:left="0"/>
              <w:jc w:val="left"/>
            </w:pPr>
          </w:p>
        </w:tc>
        <w:tc>
          <w:tcPr>
            <w:tcW w:type="dxa" w:w="3628"/>
            <w:tcBorders>
              <w:top w:color="000000" w:sz="4" w:val="single"/>
            </w:tcBorders>
            <w:tcMar>
              <w:top w:type="dxa" w:w="0"/>
              <w:left w:type="dxa" w:w="0"/>
              <w:bottom w:type="dxa" w:w="0"/>
              <w:right w:type="dxa" w:w="0"/>
            </w:tcMar>
          </w:tcPr>
          <w:p w14:paraId="C2020000">
            <w:pPr>
              <w:widowControl w:val="0"/>
              <w:spacing w:before="0" w:line="240" w:lineRule="auto"/>
              <w:ind w:firstLine="0" w:left="0"/>
              <w:jc w:val="center"/>
            </w:pPr>
            <w:r>
              <w:t>(фамилия, имя, отчество (при наличии)</w:t>
            </w:r>
          </w:p>
        </w:tc>
      </w:tr>
      <w:tr>
        <w:tc>
          <w:tcPr>
            <w:tcW w:type="dxa" w:w="3013"/>
            <w:tcMar>
              <w:top w:type="dxa" w:w="0"/>
              <w:left w:type="dxa" w:w="0"/>
              <w:bottom w:type="dxa" w:w="0"/>
              <w:right w:type="dxa" w:w="0"/>
            </w:tcMar>
            <w:vAlign w:val="bottom"/>
          </w:tcPr>
          <w:p w14:paraId="C3020000">
            <w:pPr>
              <w:widowControl w:val="0"/>
              <w:spacing w:before="0" w:line="240" w:lineRule="auto"/>
              <w:ind w:firstLine="0" w:left="0"/>
              <w:jc w:val="left"/>
            </w:pPr>
            <w:r>
              <w:t>Главный бухгалтер</w:t>
            </w:r>
          </w:p>
        </w:tc>
        <w:tc>
          <w:tcPr>
            <w:tcW w:type="dxa" w:w="1953"/>
            <w:tcBorders>
              <w:bottom w:color="000000" w:sz="4" w:val="single"/>
            </w:tcBorders>
            <w:tcMar>
              <w:top w:type="dxa" w:w="0"/>
              <w:left w:type="dxa" w:w="0"/>
              <w:bottom w:type="dxa" w:w="0"/>
              <w:right w:type="dxa" w:w="0"/>
            </w:tcMar>
          </w:tcPr>
          <w:p w14:paraId="C4020000">
            <w:pPr>
              <w:widowControl w:val="0"/>
              <w:spacing w:before="0" w:line="240" w:lineRule="auto"/>
              <w:ind w:firstLine="0" w:left="0"/>
              <w:jc w:val="left"/>
            </w:pPr>
          </w:p>
        </w:tc>
        <w:tc>
          <w:tcPr>
            <w:tcW w:type="dxa" w:w="335"/>
            <w:tcMar>
              <w:top w:type="dxa" w:w="0"/>
              <w:left w:type="dxa" w:w="0"/>
              <w:bottom w:type="dxa" w:w="0"/>
              <w:right w:type="dxa" w:w="0"/>
            </w:tcMar>
          </w:tcPr>
          <w:p w14:paraId="C5020000">
            <w:pPr>
              <w:widowControl w:val="0"/>
              <w:spacing w:before="0" w:line="240" w:lineRule="auto"/>
              <w:ind w:firstLine="0" w:left="0"/>
              <w:jc w:val="left"/>
            </w:pPr>
          </w:p>
        </w:tc>
        <w:tc>
          <w:tcPr>
            <w:tcW w:type="dxa" w:w="3628"/>
            <w:tcBorders>
              <w:bottom w:color="000000" w:sz="4" w:val="single"/>
            </w:tcBorders>
            <w:tcMar>
              <w:top w:type="dxa" w:w="0"/>
              <w:left w:type="dxa" w:w="0"/>
              <w:bottom w:type="dxa" w:w="0"/>
              <w:right w:type="dxa" w:w="0"/>
            </w:tcMar>
          </w:tcPr>
          <w:p w14:paraId="C6020000">
            <w:pPr>
              <w:widowControl w:val="0"/>
              <w:spacing w:before="0" w:line="240" w:lineRule="auto"/>
              <w:ind w:firstLine="0" w:left="0"/>
              <w:jc w:val="left"/>
            </w:pPr>
          </w:p>
        </w:tc>
      </w:tr>
      <w:tr>
        <w:tc>
          <w:tcPr>
            <w:tcW w:type="dxa" w:w="3013"/>
            <w:tcMar>
              <w:top w:type="dxa" w:w="0"/>
              <w:left w:type="dxa" w:w="0"/>
              <w:bottom w:type="dxa" w:w="0"/>
              <w:right w:type="dxa" w:w="0"/>
            </w:tcMar>
          </w:tcPr>
          <w:p w14:paraId="C7020000">
            <w:pPr>
              <w:widowControl w:val="0"/>
              <w:spacing w:before="0" w:line="240" w:lineRule="auto"/>
              <w:ind w:firstLine="0" w:left="0"/>
              <w:jc w:val="left"/>
            </w:pPr>
          </w:p>
        </w:tc>
        <w:tc>
          <w:tcPr>
            <w:tcW w:type="dxa" w:w="1953"/>
            <w:tcBorders>
              <w:top w:color="000000" w:sz="4" w:val="single"/>
            </w:tcBorders>
            <w:tcMar>
              <w:top w:type="dxa" w:w="0"/>
              <w:left w:type="dxa" w:w="0"/>
              <w:bottom w:type="dxa" w:w="0"/>
              <w:right w:type="dxa" w:w="0"/>
            </w:tcMar>
          </w:tcPr>
          <w:p w14:paraId="C8020000">
            <w:pPr>
              <w:widowControl w:val="0"/>
              <w:spacing w:before="0" w:line="240" w:lineRule="auto"/>
              <w:ind w:firstLine="0" w:left="0"/>
              <w:jc w:val="center"/>
            </w:pPr>
            <w:r>
              <w:t>(подпись)</w:t>
            </w:r>
          </w:p>
        </w:tc>
        <w:tc>
          <w:tcPr>
            <w:tcW w:type="dxa" w:w="335"/>
            <w:tcMar>
              <w:top w:type="dxa" w:w="0"/>
              <w:left w:type="dxa" w:w="0"/>
              <w:bottom w:type="dxa" w:w="0"/>
              <w:right w:type="dxa" w:w="0"/>
            </w:tcMar>
          </w:tcPr>
          <w:p w14:paraId="C9020000">
            <w:pPr>
              <w:widowControl w:val="0"/>
              <w:spacing w:before="0" w:line="240" w:lineRule="auto"/>
              <w:ind w:firstLine="0" w:left="0"/>
              <w:jc w:val="left"/>
            </w:pPr>
          </w:p>
        </w:tc>
        <w:tc>
          <w:tcPr>
            <w:tcW w:type="dxa" w:w="3628"/>
            <w:tcBorders>
              <w:top w:color="000000" w:sz="4" w:val="single"/>
            </w:tcBorders>
            <w:tcMar>
              <w:top w:type="dxa" w:w="0"/>
              <w:left w:type="dxa" w:w="0"/>
              <w:bottom w:type="dxa" w:w="0"/>
              <w:right w:type="dxa" w:w="0"/>
            </w:tcMar>
          </w:tcPr>
          <w:p w14:paraId="CA020000">
            <w:pPr>
              <w:widowControl w:val="0"/>
              <w:spacing w:before="0" w:line="240" w:lineRule="auto"/>
              <w:ind w:firstLine="0" w:left="0"/>
              <w:jc w:val="center"/>
            </w:pPr>
            <w:r>
              <w:t>(фамилия, имя, отчество (при наличии)</w:t>
            </w:r>
          </w:p>
        </w:tc>
      </w:tr>
      <w:tr>
        <w:tc>
          <w:tcPr>
            <w:tcW w:type="dxa" w:w="3013"/>
            <w:tcMar>
              <w:top w:type="dxa" w:w="0"/>
              <w:left w:type="dxa" w:w="0"/>
              <w:bottom w:type="dxa" w:w="0"/>
              <w:right w:type="dxa" w:w="0"/>
            </w:tcMar>
            <w:vAlign w:val="bottom"/>
          </w:tcPr>
          <w:p w14:paraId="CB020000">
            <w:pPr>
              <w:widowControl w:val="0"/>
              <w:spacing w:before="0" w:line="240" w:lineRule="auto"/>
              <w:ind w:firstLine="0" w:left="0"/>
              <w:jc w:val="left"/>
            </w:pPr>
            <w:r>
              <w:t>МП (при наличии)</w:t>
            </w:r>
          </w:p>
        </w:tc>
        <w:tc>
          <w:tcPr>
            <w:tcW w:type="dxa" w:w="1953"/>
            <w:tcMar>
              <w:top w:type="dxa" w:w="0"/>
              <w:left w:type="dxa" w:w="0"/>
              <w:bottom w:type="dxa" w:w="0"/>
              <w:right w:type="dxa" w:w="0"/>
            </w:tcMar>
          </w:tcPr>
          <w:p w14:paraId="CC020000">
            <w:pPr>
              <w:widowControl w:val="0"/>
              <w:spacing w:before="0" w:line="240" w:lineRule="auto"/>
              <w:ind w:firstLine="0" w:left="0"/>
              <w:jc w:val="left"/>
            </w:pPr>
          </w:p>
        </w:tc>
        <w:tc>
          <w:tcPr>
            <w:tcW w:type="dxa" w:w="335"/>
            <w:tcMar>
              <w:top w:type="dxa" w:w="0"/>
              <w:left w:type="dxa" w:w="0"/>
              <w:bottom w:type="dxa" w:w="0"/>
              <w:right w:type="dxa" w:w="0"/>
            </w:tcMar>
          </w:tcPr>
          <w:p w14:paraId="CD020000">
            <w:pPr>
              <w:widowControl w:val="0"/>
              <w:spacing w:before="0" w:line="240" w:lineRule="auto"/>
              <w:ind w:firstLine="0" w:left="0"/>
              <w:jc w:val="left"/>
            </w:pPr>
          </w:p>
        </w:tc>
        <w:tc>
          <w:tcPr>
            <w:tcW w:type="dxa" w:w="3628"/>
            <w:tcMar>
              <w:top w:type="dxa" w:w="0"/>
              <w:left w:type="dxa" w:w="0"/>
              <w:bottom w:type="dxa" w:w="0"/>
              <w:right w:type="dxa" w:w="0"/>
            </w:tcMar>
          </w:tcPr>
          <w:p w14:paraId="CE020000">
            <w:pPr>
              <w:widowControl w:val="0"/>
              <w:spacing w:before="0" w:line="240" w:lineRule="auto"/>
              <w:ind w:firstLine="0" w:left="0"/>
              <w:jc w:val="center"/>
            </w:pPr>
            <w:r>
              <w:t>«__» ___________ 20__ г.</w:t>
            </w:r>
          </w:p>
        </w:tc>
      </w:tr>
      <w:tr>
        <w:tc>
          <w:tcPr>
            <w:tcW w:type="dxa" w:w="3013"/>
            <w:tcMar>
              <w:top w:type="dxa" w:w="0"/>
              <w:left w:type="dxa" w:w="0"/>
              <w:bottom w:type="dxa" w:w="0"/>
              <w:right w:type="dxa" w:w="0"/>
            </w:tcMar>
            <w:vAlign w:val="center"/>
          </w:tcPr>
          <w:p w14:paraId="CF020000">
            <w:pPr>
              <w:widowControl w:val="0"/>
              <w:spacing w:before="0" w:line="240" w:lineRule="auto"/>
              <w:ind w:firstLine="0" w:left="0"/>
              <w:jc w:val="left"/>
            </w:pPr>
            <w:r>
              <w:t>Расчет подтверждается</w:t>
            </w:r>
          </w:p>
        </w:tc>
        <w:tc>
          <w:tcPr>
            <w:tcW w:type="dxa" w:w="1953"/>
            <w:tcMar>
              <w:top w:type="dxa" w:w="0"/>
              <w:left w:type="dxa" w:w="0"/>
              <w:bottom w:type="dxa" w:w="0"/>
              <w:right w:type="dxa" w:w="0"/>
            </w:tcMar>
          </w:tcPr>
          <w:p w14:paraId="D0020000">
            <w:pPr>
              <w:widowControl w:val="0"/>
              <w:spacing w:before="0" w:line="240" w:lineRule="auto"/>
              <w:ind w:firstLine="0" w:left="0"/>
              <w:jc w:val="left"/>
            </w:pPr>
          </w:p>
        </w:tc>
        <w:tc>
          <w:tcPr>
            <w:tcW w:type="dxa" w:w="335"/>
            <w:tcMar>
              <w:top w:type="dxa" w:w="0"/>
              <w:left w:type="dxa" w:w="0"/>
              <w:bottom w:type="dxa" w:w="0"/>
              <w:right w:type="dxa" w:w="0"/>
            </w:tcMar>
          </w:tcPr>
          <w:p w14:paraId="D1020000">
            <w:pPr>
              <w:widowControl w:val="0"/>
              <w:spacing w:before="0" w:line="240" w:lineRule="auto"/>
              <w:ind w:firstLine="0" w:left="0"/>
              <w:jc w:val="left"/>
            </w:pPr>
          </w:p>
        </w:tc>
        <w:tc>
          <w:tcPr>
            <w:tcW w:type="dxa" w:w="3628"/>
            <w:tcMar>
              <w:top w:type="dxa" w:w="0"/>
              <w:left w:type="dxa" w:w="0"/>
              <w:bottom w:type="dxa" w:w="0"/>
              <w:right w:type="dxa" w:w="0"/>
            </w:tcMar>
          </w:tcPr>
          <w:p w14:paraId="D2020000">
            <w:pPr>
              <w:widowControl w:val="0"/>
              <w:spacing w:before="0" w:line="240" w:lineRule="auto"/>
              <w:ind w:firstLine="0" w:left="0"/>
              <w:jc w:val="left"/>
            </w:pPr>
          </w:p>
        </w:tc>
      </w:tr>
      <w:tr>
        <w:tc>
          <w:tcPr>
            <w:tcW w:type="dxa" w:w="3013"/>
            <w:tcMar>
              <w:top w:type="dxa" w:w="0"/>
              <w:left w:type="dxa" w:w="0"/>
              <w:bottom w:type="dxa" w:w="0"/>
              <w:right w:type="dxa" w:w="0"/>
            </w:tcMar>
            <w:vAlign w:val="bottom"/>
          </w:tcPr>
          <w:p w14:paraId="D3020000">
            <w:pPr>
              <w:widowControl w:val="0"/>
              <w:spacing w:before="0" w:line="240" w:lineRule="auto"/>
              <w:ind w:firstLine="0" w:left="0"/>
              <w:jc w:val="left"/>
            </w:pPr>
            <w:r>
              <w:t>Уполномоченное лицо кредитной организации (иной организации)</w:t>
            </w:r>
          </w:p>
        </w:tc>
        <w:tc>
          <w:tcPr>
            <w:tcW w:type="dxa" w:w="1953"/>
            <w:tcBorders>
              <w:bottom w:color="000000" w:sz="4" w:val="single"/>
            </w:tcBorders>
            <w:tcMar>
              <w:top w:type="dxa" w:w="0"/>
              <w:left w:type="dxa" w:w="0"/>
              <w:bottom w:type="dxa" w:w="0"/>
              <w:right w:type="dxa" w:w="0"/>
            </w:tcMar>
          </w:tcPr>
          <w:p w14:paraId="D4020000">
            <w:pPr>
              <w:widowControl w:val="0"/>
              <w:spacing w:before="0" w:line="240" w:lineRule="auto"/>
              <w:ind w:firstLine="0" w:left="0"/>
              <w:jc w:val="left"/>
            </w:pPr>
          </w:p>
        </w:tc>
        <w:tc>
          <w:tcPr>
            <w:tcW w:type="dxa" w:w="335"/>
            <w:tcMar>
              <w:top w:type="dxa" w:w="0"/>
              <w:left w:type="dxa" w:w="0"/>
              <w:bottom w:type="dxa" w:w="0"/>
              <w:right w:type="dxa" w:w="0"/>
            </w:tcMar>
          </w:tcPr>
          <w:p w14:paraId="D5020000">
            <w:pPr>
              <w:widowControl w:val="0"/>
              <w:spacing w:before="0" w:line="240" w:lineRule="auto"/>
              <w:ind w:firstLine="0" w:left="0"/>
              <w:jc w:val="left"/>
            </w:pPr>
          </w:p>
        </w:tc>
        <w:tc>
          <w:tcPr>
            <w:tcW w:type="dxa" w:w="3628"/>
            <w:tcBorders>
              <w:bottom w:color="000000" w:sz="4" w:val="single"/>
            </w:tcBorders>
            <w:tcMar>
              <w:top w:type="dxa" w:w="0"/>
              <w:left w:type="dxa" w:w="0"/>
              <w:bottom w:type="dxa" w:w="0"/>
              <w:right w:type="dxa" w:w="0"/>
            </w:tcMar>
          </w:tcPr>
          <w:p w14:paraId="D6020000">
            <w:pPr>
              <w:widowControl w:val="0"/>
              <w:spacing w:before="0" w:line="240" w:lineRule="auto"/>
              <w:ind w:firstLine="0" w:left="0"/>
              <w:jc w:val="left"/>
            </w:pPr>
          </w:p>
        </w:tc>
      </w:tr>
      <w:tr>
        <w:tc>
          <w:tcPr>
            <w:tcW w:type="dxa" w:w="3013"/>
            <w:tcMar>
              <w:top w:type="dxa" w:w="0"/>
              <w:left w:type="dxa" w:w="0"/>
              <w:bottom w:type="dxa" w:w="0"/>
              <w:right w:type="dxa" w:w="0"/>
            </w:tcMar>
          </w:tcPr>
          <w:p w14:paraId="D7020000">
            <w:pPr>
              <w:widowControl w:val="0"/>
              <w:spacing w:before="0" w:line="240" w:lineRule="auto"/>
              <w:ind w:firstLine="0" w:left="0"/>
              <w:jc w:val="left"/>
            </w:pPr>
          </w:p>
        </w:tc>
        <w:tc>
          <w:tcPr>
            <w:tcW w:type="dxa" w:w="1953"/>
            <w:tcBorders>
              <w:top w:color="000000" w:sz="4" w:val="single"/>
            </w:tcBorders>
            <w:tcMar>
              <w:top w:type="dxa" w:w="0"/>
              <w:left w:type="dxa" w:w="0"/>
              <w:bottom w:type="dxa" w:w="0"/>
              <w:right w:type="dxa" w:w="0"/>
            </w:tcMar>
          </w:tcPr>
          <w:p w14:paraId="D8020000">
            <w:pPr>
              <w:widowControl w:val="0"/>
              <w:spacing w:before="0" w:line="240" w:lineRule="auto"/>
              <w:ind w:firstLine="0" w:left="0"/>
              <w:jc w:val="center"/>
            </w:pPr>
            <w:r>
              <w:t>(подпись)</w:t>
            </w:r>
          </w:p>
        </w:tc>
        <w:tc>
          <w:tcPr>
            <w:tcW w:type="dxa" w:w="335"/>
            <w:tcMar>
              <w:top w:type="dxa" w:w="0"/>
              <w:left w:type="dxa" w:w="0"/>
              <w:bottom w:type="dxa" w:w="0"/>
              <w:right w:type="dxa" w:w="0"/>
            </w:tcMar>
          </w:tcPr>
          <w:p w14:paraId="D9020000">
            <w:pPr>
              <w:widowControl w:val="0"/>
              <w:spacing w:before="0" w:line="240" w:lineRule="auto"/>
              <w:ind w:firstLine="0" w:left="0"/>
              <w:jc w:val="left"/>
            </w:pPr>
          </w:p>
        </w:tc>
        <w:tc>
          <w:tcPr>
            <w:tcW w:type="dxa" w:w="3628"/>
            <w:tcBorders>
              <w:top w:color="000000" w:sz="4" w:val="single"/>
            </w:tcBorders>
            <w:tcMar>
              <w:top w:type="dxa" w:w="0"/>
              <w:left w:type="dxa" w:w="0"/>
              <w:bottom w:type="dxa" w:w="0"/>
              <w:right w:type="dxa" w:w="0"/>
            </w:tcMar>
          </w:tcPr>
          <w:p w14:paraId="DA020000">
            <w:pPr>
              <w:widowControl w:val="0"/>
              <w:spacing w:before="0" w:line="240" w:lineRule="auto"/>
              <w:ind w:firstLine="0" w:left="0"/>
              <w:jc w:val="center"/>
            </w:pPr>
            <w:r>
              <w:t>(фамилия, имя, отчество (при наличии)</w:t>
            </w:r>
          </w:p>
        </w:tc>
      </w:tr>
      <w:tr>
        <w:tc>
          <w:tcPr>
            <w:tcW w:type="dxa" w:w="3013"/>
            <w:tcMar>
              <w:top w:type="dxa" w:w="0"/>
              <w:left w:type="dxa" w:w="0"/>
              <w:bottom w:type="dxa" w:w="0"/>
              <w:right w:type="dxa" w:w="0"/>
            </w:tcMar>
          </w:tcPr>
          <w:p w14:paraId="DB020000">
            <w:pPr>
              <w:widowControl w:val="0"/>
              <w:spacing w:before="0" w:line="240" w:lineRule="auto"/>
              <w:ind w:firstLine="0" w:left="0"/>
              <w:jc w:val="left"/>
            </w:pPr>
          </w:p>
        </w:tc>
        <w:tc>
          <w:tcPr>
            <w:tcW w:type="dxa" w:w="1953"/>
            <w:tcMar>
              <w:top w:type="dxa" w:w="0"/>
              <w:left w:type="dxa" w:w="0"/>
              <w:bottom w:type="dxa" w:w="0"/>
              <w:right w:type="dxa" w:w="0"/>
            </w:tcMar>
          </w:tcPr>
          <w:p w14:paraId="DC020000">
            <w:pPr>
              <w:widowControl w:val="0"/>
              <w:spacing w:before="0" w:line="240" w:lineRule="auto"/>
              <w:ind w:firstLine="0" w:left="0"/>
              <w:jc w:val="left"/>
            </w:pPr>
          </w:p>
        </w:tc>
        <w:tc>
          <w:tcPr>
            <w:tcW w:type="dxa" w:w="335"/>
            <w:tcMar>
              <w:top w:type="dxa" w:w="0"/>
              <w:left w:type="dxa" w:w="0"/>
              <w:bottom w:type="dxa" w:w="0"/>
              <w:right w:type="dxa" w:w="0"/>
            </w:tcMar>
          </w:tcPr>
          <w:p w14:paraId="DD020000">
            <w:pPr>
              <w:widowControl w:val="0"/>
              <w:spacing w:before="0" w:line="240" w:lineRule="auto"/>
              <w:ind w:firstLine="0" w:left="0"/>
              <w:jc w:val="left"/>
            </w:pPr>
          </w:p>
        </w:tc>
        <w:tc>
          <w:tcPr>
            <w:tcW w:type="dxa" w:w="3628"/>
            <w:tcMar>
              <w:top w:type="dxa" w:w="0"/>
              <w:left w:type="dxa" w:w="0"/>
              <w:bottom w:type="dxa" w:w="0"/>
              <w:right w:type="dxa" w:w="0"/>
            </w:tcMar>
          </w:tcPr>
          <w:p w14:paraId="DE020000">
            <w:pPr>
              <w:widowControl w:val="0"/>
              <w:spacing w:before="0" w:line="240" w:lineRule="auto"/>
              <w:ind w:firstLine="0" w:left="0"/>
              <w:jc w:val="center"/>
            </w:pPr>
            <w:r>
              <w:t>"__" ___________ 20__ г.</w:t>
            </w:r>
          </w:p>
        </w:tc>
      </w:tr>
    </w:tbl>
    <w:p w14:paraId="DF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8929"/>
      </w:tblGrid>
      <w:tr>
        <w:tc>
          <w:tcPr>
            <w:tcW w:type="dxa" w:w="8929"/>
            <w:tcMar>
              <w:top w:type="dxa" w:w="0"/>
              <w:left w:type="dxa" w:w="0"/>
              <w:bottom w:type="dxa" w:w="0"/>
              <w:right w:type="dxa" w:w="0"/>
            </w:tcMar>
          </w:tcPr>
          <w:p w14:paraId="E0020000">
            <w:pPr>
              <w:widowControl w:val="0"/>
              <w:spacing w:before="0" w:line="240" w:lineRule="auto"/>
              <w:ind w:firstLine="0" w:left="0"/>
              <w:jc w:val="center"/>
            </w:pPr>
            <w:r>
              <w:t>Расчет объема фактически понесенных затрат на уплату купонного дохода по облигационным займам &lt;19&gt;</w:t>
            </w:r>
          </w:p>
        </w:tc>
      </w:tr>
    </w:tbl>
    <w:p w14:paraId="E1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8929"/>
      </w:tblGrid>
      <w:tr>
        <w:tc>
          <w:tcPr>
            <w:tcW w:type="dxa" w:w="8929"/>
            <w:tcMar>
              <w:top w:type="dxa" w:w="0"/>
              <w:left w:type="dxa" w:w="0"/>
              <w:bottom w:type="dxa" w:w="0"/>
              <w:right w:type="dxa" w:w="0"/>
            </w:tcMar>
          </w:tcPr>
          <w:p w14:paraId="E2020000">
            <w:pPr>
              <w:widowControl w:val="0"/>
              <w:spacing w:before="0" w:line="240" w:lineRule="auto"/>
              <w:ind w:firstLine="0" w:left="0"/>
              <w:jc w:val="left"/>
            </w:pPr>
            <w:r>
              <w:t>за период с «__» _______________ 20__ г. по «__» _______________ 20__ г. &lt;20&gt;</w:t>
            </w:r>
          </w:p>
        </w:tc>
      </w:tr>
      <w:tr>
        <w:tc>
          <w:tcPr>
            <w:tcW w:type="dxa" w:w="8929"/>
            <w:tcMar>
              <w:top w:type="dxa" w:w="0"/>
              <w:left w:type="dxa" w:w="0"/>
              <w:bottom w:type="dxa" w:w="0"/>
              <w:right w:type="dxa" w:w="0"/>
            </w:tcMar>
          </w:tcPr>
          <w:p w14:paraId="E3020000">
            <w:pPr>
              <w:widowControl w:val="0"/>
              <w:spacing w:before="0" w:line="240" w:lineRule="auto"/>
              <w:ind w:firstLine="283" w:left="0"/>
              <w:jc w:val="both"/>
            </w:pPr>
            <w:r>
              <w:t>Государственный регистрационный, идентификационный и (или) регистрационный номера выпуска облигаций __________________________________________________</w:t>
            </w:r>
          </w:p>
          <w:p w14:paraId="E4020000">
            <w:pPr>
              <w:widowControl w:val="0"/>
              <w:spacing w:before="0" w:line="240" w:lineRule="auto"/>
              <w:ind w:firstLine="0" w:left="0"/>
              <w:jc w:val="both"/>
            </w:pPr>
            <w:r>
              <w:t>__________________________________________________________________________</w:t>
            </w:r>
          </w:p>
        </w:tc>
      </w:tr>
      <w:tr>
        <w:tc>
          <w:tcPr>
            <w:tcW w:type="dxa" w:w="8929"/>
            <w:tcMar>
              <w:top w:type="dxa" w:w="0"/>
              <w:left w:type="dxa" w:w="0"/>
              <w:bottom w:type="dxa" w:w="0"/>
              <w:right w:type="dxa" w:w="0"/>
            </w:tcMar>
          </w:tcPr>
          <w:p w14:paraId="E5020000">
            <w:pPr>
              <w:widowControl w:val="0"/>
              <w:spacing w:before="0" w:line="240" w:lineRule="auto"/>
              <w:ind w:firstLine="283" w:left="0"/>
              <w:jc w:val="both"/>
            </w:pPr>
            <w:r>
              <w:t>1. Тип объекта: объект инфраструктуры/основной объект проекта __________________________________________________________________________</w:t>
            </w:r>
          </w:p>
        </w:tc>
      </w:tr>
      <w:tr>
        <w:tc>
          <w:tcPr>
            <w:tcW w:type="dxa" w:w="8929"/>
            <w:tcMar>
              <w:top w:type="dxa" w:w="0"/>
              <w:left w:type="dxa" w:w="0"/>
              <w:bottom w:type="dxa" w:w="0"/>
              <w:right w:type="dxa" w:w="0"/>
            </w:tcMar>
          </w:tcPr>
          <w:p w14:paraId="E6020000">
            <w:pPr>
              <w:widowControl w:val="0"/>
              <w:spacing w:before="0" w:line="240" w:lineRule="auto"/>
              <w:ind w:firstLine="283" w:left="0"/>
              <w:jc w:val="both"/>
            </w:pPr>
            <w:r>
              <w:t>2. Тип объекта инфраструктуры: объект обеспечивающей/сопутствующей инфраструктуры (если применимо) ___________________________________________</w:t>
            </w:r>
          </w:p>
        </w:tc>
      </w:tr>
      <w:tr>
        <w:tc>
          <w:tcPr>
            <w:tcW w:type="dxa" w:w="8929"/>
            <w:tcMar>
              <w:top w:type="dxa" w:w="0"/>
              <w:left w:type="dxa" w:w="0"/>
              <w:bottom w:type="dxa" w:w="0"/>
              <w:right w:type="dxa" w:w="0"/>
            </w:tcMar>
          </w:tcPr>
          <w:p w14:paraId="E7020000">
            <w:pPr>
              <w:widowControl w:val="0"/>
              <w:spacing w:before="0" w:line="240" w:lineRule="auto"/>
              <w:ind w:firstLine="283" w:left="0"/>
              <w:jc w:val="both"/>
            </w:pPr>
            <w:r>
              <w:t>3. Наименование объекта _________________________________________________</w:t>
            </w:r>
          </w:p>
        </w:tc>
      </w:tr>
      <w:tr>
        <w:tc>
          <w:tcPr>
            <w:tcW w:type="dxa" w:w="8929"/>
            <w:tcMar>
              <w:top w:type="dxa" w:w="0"/>
              <w:left w:type="dxa" w:w="0"/>
              <w:bottom w:type="dxa" w:w="0"/>
              <w:right w:type="dxa" w:w="0"/>
            </w:tcMar>
          </w:tcPr>
          <w:p w14:paraId="E8020000">
            <w:pPr>
              <w:widowControl w:val="0"/>
              <w:spacing w:before="0" w:line="240" w:lineRule="auto"/>
              <w:ind w:firstLine="283" w:left="0"/>
              <w:jc w:val="both"/>
            </w:pPr>
            <w:r>
              <w:t>4. Цель облигационного займа в соответствии с проспектом эмиссии: ___________________________________________________________________________</w:t>
            </w:r>
          </w:p>
        </w:tc>
      </w:tr>
    </w:tbl>
    <w:p w14:paraId="E902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485"/>
        <w:gridCol w:w="943"/>
        <w:gridCol w:w="683"/>
        <w:gridCol w:w="520"/>
        <w:gridCol w:w="506"/>
        <w:gridCol w:w="1659"/>
        <w:gridCol w:w="976"/>
        <w:gridCol w:w="2245"/>
        <w:gridCol w:w="911"/>
      </w:tblGrid>
      <w:tr>
        <w:tc>
          <w:tcPr>
            <w:tcW w:type="dxa" w:w="485"/>
            <w:tcBorders>
              <w:top w:color="000000" w:sz="4" w:val="single"/>
              <w:left w:color="000000" w:sz="4" w:val="single"/>
              <w:bottom w:color="000000" w:sz="4" w:val="single"/>
              <w:right w:color="000000" w:sz="4" w:val="single"/>
            </w:tcBorders>
            <w:tcMar>
              <w:top w:type="dxa" w:w="0"/>
              <w:left w:type="dxa" w:w="0"/>
              <w:bottom w:type="dxa" w:w="0"/>
              <w:right w:type="dxa" w:w="0"/>
            </w:tcMar>
          </w:tcPr>
          <w:p w14:paraId="EA020000">
            <w:pPr>
              <w:widowControl w:val="0"/>
              <w:spacing w:before="0" w:line="240" w:lineRule="auto"/>
              <w:ind w:firstLine="0" w:left="0"/>
              <w:jc w:val="center"/>
            </w:pPr>
            <w:r>
              <w:t>Порядковый номер купонного периода</w:t>
            </w:r>
          </w:p>
        </w:tc>
        <w:tc>
          <w:tcPr>
            <w:tcW w:type="dxa" w:w="943"/>
            <w:tcBorders>
              <w:top w:color="000000" w:sz="4" w:val="single"/>
              <w:left w:color="000000" w:sz="4" w:val="single"/>
              <w:bottom w:color="000000" w:sz="4" w:val="single"/>
              <w:right w:color="000000" w:sz="4" w:val="single"/>
            </w:tcBorders>
            <w:tcMar>
              <w:top w:type="dxa" w:w="0"/>
              <w:left w:type="dxa" w:w="0"/>
              <w:bottom w:type="dxa" w:w="0"/>
              <w:right w:type="dxa" w:w="0"/>
            </w:tcMar>
          </w:tcPr>
          <w:p w14:paraId="EB020000">
            <w:pPr>
              <w:widowControl w:val="0"/>
              <w:spacing w:before="0" w:line="240" w:lineRule="auto"/>
              <w:ind w:firstLine="0" w:left="0"/>
              <w:jc w:val="center"/>
            </w:pPr>
            <w:r>
              <w:t>Непогашенная часть номинальной стоимости на дату окончания купонного периода, рублей</w:t>
            </w:r>
          </w:p>
        </w:tc>
        <w:tc>
          <w:tcPr>
            <w:tcW w:type="dxa" w:w="683"/>
            <w:tcBorders>
              <w:top w:color="000000" w:sz="4" w:val="single"/>
              <w:left w:color="000000" w:sz="4" w:val="single"/>
              <w:bottom w:color="000000" w:sz="4" w:val="single"/>
              <w:right w:color="000000" w:sz="4" w:val="single"/>
            </w:tcBorders>
            <w:tcMar>
              <w:top w:type="dxa" w:w="0"/>
              <w:left w:type="dxa" w:w="0"/>
              <w:bottom w:type="dxa" w:w="0"/>
              <w:right w:type="dxa" w:w="0"/>
            </w:tcMar>
          </w:tcPr>
          <w:p w14:paraId="EC020000">
            <w:pPr>
              <w:widowControl w:val="0"/>
              <w:spacing w:before="0" w:line="240" w:lineRule="auto"/>
              <w:ind w:firstLine="0" w:left="0"/>
              <w:jc w:val="center"/>
            </w:pPr>
            <w:r>
              <w:t>Величина процентной ставки купонного дохода, процентов годовых</w:t>
            </w:r>
          </w:p>
        </w:tc>
        <w:tc>
          <w:tcPr>
            <w:tcW w:type="dxa" w:w="520"/>
            <w:tcBorders>
              <w:top w:color="000000" w:sz="4" w:val="single"/>
              <w:left w:color="000000" w:sz="4" w:val="single"/>
              <w:bottom w:color="000000" w:sz="4" w:val="single"/>
              <w:right w:color="000000" w:sz="4" w:val="single"/>
            </w:tcBorders>
            <w:tcMar>
              <w:top w:type="dxa" w:w="0"/>
              <w:left w:type="dxa" w:w="0"/>
              <w:bottom w:type="dxa" w:w="0"/>
              <w:right w:type="dxa" w:w="0"/>
            </w:tcMar>
          </w:tcPr>
          <w:p w14:paraId="ED020000">
            <w:pPr>
              <w:widowControl w:val="0"/>
              <w:spacing w:before="0" w:line="240" w:lineRule="auto"/>
              <w:ind w:firstLine="0" w:left="0"/>
              <w:jc w:val="center"/>
            </w:pPr>
            <w:r>
              <w:t>Дата окончания купонного периода</w:t>
            </w:r>
          </w:p>
        </w:tc>
        <w:tc>
          <w:tcPr>
            <w:tcW w:type="dxa" w:w="506"/>
            <w:tcBorders>
              <w:top w:color="000000" w:sz="4" w:val="single"/>
              <w:left w:color="000000" w:sz="4" w:val="single"/>
              <w:bottom w:color="000000" w:sz="4" w:val="single"/>
              <w:right w:color="000000" w:sz="4" w:val="single"/>
            </w:tcBorders>
            <w:tcMar>
              <w:top w:type="dxa" w:w="0"/>
              <w:left w:type="dxa" w:w="0"/>
              <w:bottom w:type="dxa" w:w="0"/>
              <w:right w:type="dxa" w:w="0"/>
            </w:tcMar>
          </w:tcPr>
          <w:p w14:paraId="EE020000">
            <w:pPr>
              <w:widowControl w:val="0"/>
              <w:spacing w:before="0" w:line="240" w:lineRule="auto"/>
              <w:ind w:firstLine="0" w:left="0"/>
              <w:jc w:val="center"/>
            </w:pPr>
            <w:r>
              <w:t>Количество календарных дней в купонном периоде</w:t>
            </w:r>
          </w:p>
        </w:tc>
        <w:tc>
          <w:tcPr>
            <w:tcW w:type="dxa" w:w="1659"/>
            <w:tcBorders>
              <w:top w:color="000000" w:sz="4" w:val="single"/>
              <w:left w:color="000000" w:sz="4" w:val="single"/>
              <w:bottom w:color="000000" w:sz="4" w:val="single"/>
              <w:right w:color="000000" w:sz="4" w:val="single"/>
            </w:tcBorders>
            <w:tcMar>
              <w:top w:type="dxa" w:w="0"/>
              <w:left w:type="dxa" w:w="0"/>
              <w:bottom w:type="dxa" w:w="0"/>
              <w:right w:type="dxa" w:w="0"/>
            </w:tcMar>
          </w:tcPr>
          <w:p w14:paraId="EF020000">
            <w:pPr>
              <w:widowControl w:val="0"/>
              <w:spacing w:before="0" w:line="240" w:lineRule="auto"/>
              <w:ind w:firstLine="0" w:left="0"/>
              <w:jc w:val="center"/>
            </w:pPr>
            <w:r>
              <w:t>Сумма уплаченного купонного дохода по состоянию на дату окончания купонного периода (рублей)</w:t>
            </w:r>
          </w:p>
          <w:p w14:paraId="F0020000">
            <w:pPr>
              <w:widowControl w:val="0"/>
              <w:spacing w:before="0" w:line="240" w:lineRule="auto"/>
              <w:ind w:firstLine="0" w:left="0"/>
              <w:jc w:val="center"/>
            </w:pPr>
            <w:r>
              <w:drawing>
                <wp:inline>
                  <wp:extent cx="1053465" cy="280112"/>
                  <wp:effectExtent b="0" l="0" r="0" t="0"/>
                  <wp:docPr hidden="false" id="26" name="Picture 26"/>
                  <a:graphic>
                    <a:graphicData uri="http://schemas.openxmlformats.org/drawingml/2006/picture">
                      <pic:pic>
                        <pic:nvPicPr>
                          <pic:cNvPr hidden="false" id="25" name="Picture 25"/>
                          <pic:cNvPicPr preferRelativeResize="true"/>
                        </pic:nvPicPr>
                        <pic:blipFill>
                          <a:blip r:embed="rId14"/>
                          <a:stretch/>
                        </pic:blipFill>
                        <pic:spPr>
                          <a:xfrm flipH="false" flipV="false" rot="0">
                            <a:ext cx="1053465" cy="280112"/>
                          </a:xfrm>
                          <a:prstGeom prst="rect"/>
                        </pic:spPr>
                      </pic:pic>
                    </a:graphicData>
                  </a:graphic>
                </wp:inline>
              </w:drawing>
            </w:r>
          </w:p>
        </w:tc>
        <w:tc>
          <w:tcPr>
            <w:tcW w:type="dxa" w:w="976"/>
            <w:tcBorders>
              <w:top w:color="000000" w:sz="4" w:val="single"/>
              <w:left w:color="000000" w:sz="4" w:val="single"/>
              <w:bottom w:color="000000" w:sz="4" w:val="single"/>
              <w:right w:color="000000" w:sz="4" w:val="single"/>
            </w:tcBorders>
            <w:tcMar>
              <w:top w:type="dxa" w:w="0"/>
              <w:left w:type="dxa" w:w="0"/>
              <w:bottom w:type="dxa" w:w="0"/>
              <w:right w:type="dxa" w:w="0"/>
            </w:tcMar>
          </w:tcPr>
          <w:p w14:paraId="F1020000">
            <w:pPr>
              <w:widowControl w:val="0"/>
              <w:spacing w:before="0" w:line="240" w:lineRule="auto"/>
              <w:ind w:firstLine="0" w:left="0"/>
              <w:jc w:val="center"/>
            </w:pPr>
            <w:r>
              <w:t>Базовый индикатор &lt;21&gt; по состоянию на дату окончания купонного периода</w:t>
            </w:r>
          </w:p>
        </w:tc>
        <w:tc>
          <w:tcPr>
            <w:tcW w:type="dxa" w:w="2245"/>
            <w:tcBorders>
              <w:top w:color="000000" w:sz="4" w:val="single"/>
              <w:left w:color="000000" w:sz="4" w:val="single"/>
              <w:bottom w:color="000000" w:sz="4" w:val="single"/>
              <w:right w:color="000000" w:sz="4" w:val="single"/>
            </w:tcBorders>
            <w:tcMar>
              <w:top w:type="dxa" w:w="0"/>
              <w:left w:type="dxa" w:w="0"/>
              <w:bottom w:type="dxa" w:w="0"/>
              <w:right w:type="dxa" w:w="0"/>
            </w:tcMar>
          </w:tcPr>
          <w:p w14:paraId="F2020000">
            <w:pPr>
              <w:widowControl w:val="0"/>
              <w:spacing w:before="0" w:line="240" w:lineRule="auto"/>
              <w:ind w:firstLine="0" w:left="0"/>
              <w:jc w:val="center"/>
            </w:pPr>
            <w:r>
              <w:t>Норматив возмещения затрат из расчета 70% базового индикатора</w:t>
            </w:r>
          </w:p>
          <w:p w14:paraId="F3020000">
            <w:pPr>
              <w:widowControl w:val="0"/>
              <w:spacing w:before="0" w:line="240" w:lineRule="auto"/>
              <w:ind w:firstLine="0" w:left="0"/>
              <w:jc w:val="center"/>
            </w:pPr>
            <w:r>
              <w:drawing>
                <wp:inline>
                  <wp:extent cx="1425575" cy="299116"/>
                  <wp:effectExtent b="0" l="0" r="0" t="0"/>
                  <wp:docPr hidden="false" id="28" name="Picture 28"/>
                  <a:graphic>
                    <a:graphicData uri="http://schemas.openxmlformats.org/drawingml/2006/picture">
                      <pic:pic>
                        <pic:nvPicPr>
                          <pic:cNvPr hidden="false" id="27" name="Picture 27"/>
                          <pic:cNvPicPr preferRelativeResize="true"/>
                        </pic:nvPicPr>
                        <pic:blipFill>
                          <a:blip r:embed="rId15"/>
                          <a:stretch/>
                        </pic:blipFill>
                        <pic:spPr>
                          <a:xfrm flipH="false" flipV="false" rot="0">
                            <a:ext cx="1425575" cy="299116"/>
                          </a:xfrm>
                          <a:prstGeom prst="rect"/>
                        </pic:spPr>
                      </pic:pic>
                    </a:graphicData>
                  </a:graphic>
                </wp:inline>
              </w:drawing>
            </w:r>
          </w:p>
          <w:p w14:paraId="F4020000">
            <w:pPr>
              <w:widowControl w:val="0"/>
              <w:spacing w:before="0" w:line="240" w:lineRule="auto"/>
              <w:ind w:firstLine="0" w:left="0"/>
              <w:jc w:val="center"/>
            </w:pPr>
            <w:r>
              <w:t>рублей</w:t>
            </w:r>
          </w:p>
        </w:tc>
        <w:tc>
          <w:tcPr>
            <w:tcW w:type="dxa" w:w="911"/>
            <w:tcBorders>
              <w:top w:color="000000" w:sz="4" w:val="single"/>
              <w:left w:color="000000" w:sz="4" w:val="single"/>
              <w:bottom w:color="000000" w:sz="4" w:val="single"/>
              <w:right w:color="000000" w:sz="4" w:val="single"/>
            </w:tcBorders>
            <w:tcMar>
              <w:top w:type="dxa" w:w="0"/>
              <w:left w:type="dxa" w:w="0"/>
              <w:bottom w:type="dxa" w:w="0"/>
              <w:right w:type="dxa" w:w="0"/>
            </w:tcMar>
          </w:tcPr>
          <w:p w14:paraId="F5020000">
            <w:pPr>
              <w:widowControl w:val="0"/>
              <w:spacing w:before="0" w:line="240" w:lineRule="auto"/>
              <w:ind w:firstLine="0" w:left="0"/>
              <w:jc w:val="center"/>
            </w:pPr>
            <w:r>
              <w:t>Объем фактически понесенных затрат (минимальная из величин в гр. 6 или гр. 8), рублей</w:t>
            </w:r>
          </w:p>
        </w:tc>
      </w:tr>
      <w:tr>
        <w:tc>
          <w:tcPr>
            <w:tcW w:type="dxa" w:w="485"/>
            <w:tcBorders>
              <w:top w:color="000000" w:sz="4" w:val="single"/>
              <w:left w:color="000000" w:sz="4" w:val="single"/>
              <w:bottom w:color="000000" w:sz="4" w:val="single"/>
              <w:right w:color="000000" w:sz="4" w:val="single"/>
            </w:tcBorders>
            <w:tcMar>
              <w:top w:type="dxa" w:w="0"/>
              <w:left w:type="dxa" w:w="0"/>
              <w:bottom w:type="dxa" w:w="0"/>
              <w:right w:type="dxa" w:w="0"/>
            </w:tcMar>
          </w:tcPr>
          <w:p w14:paraId="F6020000">
            <w:pPr>
              <w:widowControl w:val="0"/>
              <w:spacing w:before="0" w:line="240" w:lineRule="auto"/>
              <w:ind w:firstLine="0" w:left="0"/>
              <w:jc w:val="center"/>
            </w:pPr>
            <w:r>
              <w:t>1</w:t>
            </w:r>
          </w:p>
        </w:tc>
        <w:tc>
          <w:tcPr>
            <w:tcW w:type="dxa" w:w="943"/>
            <w:tcBorders>
              <w:top w:color="000000" w:sz="4" w:val="single"/>
              <w:left w:color="000000" w:sz="4" w:val="single"/>
              <w:bottom w:color="000000" w:sz="4" w:val="single"/>
              <w:right w:color="000000" w:sz="4" w:val="single"/>
            </w:tcBorders>
            <w:tcMar>
              <w:top w:type="dxa" w:w="0"/>
              <w:left w:type="dxa" w:w="0"/>
              <w:bottom w:type="dxa" w:w="0"/>
              <w:right w:type="dxa" w:w="0"/>
            </w:tcMar>
          </w:tcPr>
          <w:p w14:paraId="F7020000">
            <w:pPr>
              <w:widowControl w:val="0"/>
              <w:spacing w:before="0" w:line="240" w:lineRule="auto"/>
              <w:ind w:firstLine="0" w:left="0"/>
              <w:jc w:val="center"/>
            </w:pPr>
            <w:r>
              <w:t>2</w:t>
            </w:r>
          </w:p>
        </w:tc>
        <w:tc>
          <w:tcPr>
            <w:tcW w:type="dxa" w:w="683"/>
            <w:tcBorders>
              <w:top w:color="000000" w:sz="4" w:val="single"/>
              <w:left w:color="000000" w:sz="4" w:val="single"/>
              <w:bottom w:color="000000" w:sz="4" w:val="single"/>
              <w:right w:color="000000" w:sz="4" w:val="single"/>
            </w:tcBorders>
            <w:tcMar>
              <w:top w:type="dxa" w:w="0"/>
              <w:left w:type="dxa" w:w="0"/>
              <w:bottom w:type="dxa" w:w="0"/>
              <w:right w:type="dxa" w:w="0"/>
            </w:tcMar>
          </w:tcPr>
          <w:p w14:paraId="F8020000">
            <w:pPr>
              <w:widowControl w:val="0"/>
              <w:spacing w:before="0" w:line="240" w:lineRule="auto"/>
              <w:ind w:firstLine="0" w:left="0"/>
              <w:jc w:val="center"/>
            </w:pPr>
            <w:r>
              <w:t>3</w:t>
            </w:r>
          </w:p>
        </w:tc>
        <w:tc>
          <w:tcPr>
            <w:tcW w:type="dxa" w:w="520"/>
            <w:tcBorders>
              <w:top w:color="000000" w:sz="4" w:val="single"/>
              <w:left w:color="000000" w:sz="4" w:val="single"/>
              <w:bottom w:color="000000" w:sz="4" w:val="single"/>
              <w:right w:color="000000" w:sz="4" w:val="single"/>
            </w:tcBorders>
            <w:tcMar>
              <w:top w:type="dxa" w:w="0"/>
              <w:left w:type="dxa" w:w="0"/>
              <w:bottom w:type="dxa" w:w="0"/>
              <w:right w:type="dxa" w:w="0"/>
            </w:tcMar>
          </w:tcPr>
          <w:p w14:paraId="F9020000">
            <w:pPr>
              <w:widowControl w:val="0"/>
              <w:spacing w:before="0" w:line="240" w:lineRule="auto"/>
              <w:ind w:firstLine="0" w:left="0"/>
              <w:jc w:val="center"/>
            </w:pPr>
            <w:r>
              <w:t>4</w:t>
            </w:r>
          </w:p>
        </w:tc>
        <w:tc>
          <w:tcPr>
            <w:tcW w:type="dxa" w:w="506"/>
            <w:tcBorders>
              <w:top w:color="000000" w:sz="4" w:val="single"/>
              <w:left w:color="000000" w:sz="4" w:val="single"/>
              <w:bottom w:color="000000" w:sz="4" w:val="single"/>
              <w:right w:color="000000" w:sz="4" w:val="single"/>
            </w:tcBorders>
            <w:tcMar>
              <w:top w:type="dxa" w:w="0"/>
              <w:left w:type="dxa" w:w="0"/>
              <w:bottom w:type="dxa" w:w="0"/>
              <w:right w:type="dxa" w:w="0"/>
            </w:tcMar>
          </w:tcPr>
          <w:p w14:paraId="FA020000">
            <w:pPr>
              <w:widowControl w:val="0"/>
              <w:spacing w:before="0" w:line="240" w:lineRule="auto"/>
              <w:ind w:firstLine="0" w:left="0"/>
              <w:jc w:val="center"/>
            </w:pPr>
            <w:r>
              <w:t>5</w:t>
            </w:r>
          </w:p>
        </w:tc>
        <w:tc>
          <w:tcPr>
            <w:tcW w:type="dxa" w:w="1659"/>
            <w:tcBorders>
              <w:top w:color="000000" w:sz="4" w:val="single"/>
              <w:left w:color="000000" w:sz="4" w:val="single"/>
              <w:bottom w:color="000000" w:sz="4" w:val="single"/>
              <w:right w:color="000000" w:sz="4" w:val="single"/>
            </w:tcBorders>
            <w:tcMar>
              <w:top w:type="dxa" w:w="0"/>
              <w:left w:type="dxa" w:w="0"/>
              <w:bottom w:type="dxa" w:w="0"/>
              <w:right w:type="dxa" w:w="0"/>
            </w:tcMar>
          </w:tcPr>
          <w:p w14:paraId="FB020000">
            <w:pPr>
              <w:widowControl w:val="0"/>
              <w:spacing w:before="0" w:line="240" w:lineRule="auto"/>
              <w:ind w:firstLine="0" w:left="0"/>
              <w:jc w:val="center"/>
            </w:pPr>
            <w:r>
              <w:t>6</w:t>
            </w:r>
          </w:p>
        </w:tc>
        <w:tc>
          <w:tcPr>
            <w:tcW w:type="dxa" w:w="976"/>
            <w:tcBorders>
              <w:top w:color="000000" w:sz="4" w:val="single"/>
              <w:left w:color="000000" w:sz="4" w:val="single"/>
              <w:bottom w:color="000000" w:sz="4" w:val="single"/>
              <w:right w:color="000000" w:sz="4" w:val="single"/>
            </w:tcBorders>
            <w:tcMar>
              <w:top w:type="dxa" w:w="0"/>
              <w:left w:type="dxa" w:w="0"/>
              <w:bottom w:type="dxa" w:w="0"/>
              <w:right w:type="dxa" w:w="0"/>
            </w:tcMar>
          </w:tcPr>
          <w:p w14:paraId="FC020000">
            <w:pPr>
              <w:widowControl w:val="0"/>
              <w:spacing w:before="0" w:line="240" w:lineRule="auto"/>
              <w:ind w:firstLine="0" w:left="0"/>
              <w:jc w:val="center"/>
            </w:pPr>
            <w:r>
              <w:t>7</w:t>
            </w:r>
          </w:p>
        </w:tc>
        <w:tc>
          <w:tcPr>
            <w:tcW w:type="dxa" w:w="2245"/>
            <w:tcBorders>
              <w:top w:color="000000" w:sz="4" w:val="single"/>
              <w:left w:color="000000" w:sz="4" w:val="single"/>
              <w:bottom w:color="000000" w:sz="4" w:val="single"/>
              <w:right w:color="000000" w:sz="4" w:val="single"/>
            </w:tcBorders>
            <w:tcMar>
              <w:top w:type="dxa" w:w="0"/>
              <w:left w:type="dxa" w:w="0"/>
              <w:bottom w:type="dxa" w:w="0"/>
              <w:right w:type="dxa" w:w="0"/>
            </w:tcMar>
          </w:tcPr>
          <w:p w14:paraId="FD020000">
            <w:pPr>
              <w:widowControl w:val="0"/>
              <w:spacing w:before="0" w:line="240" w:lineRule="auto"/>
              <w:ind w:firstLine="0" w:left="0"/>
              <w:jc w:val="center"/>
            </w:pPr>
            <w:r>
              <w:t>8</w:t>
            </w:r>
          </w:p>
        </w:tc>
        <w:tc>
          <w:tcPr>
            <w:tcW w:type="dxa" w:w="911"/>
            <w:tcBorders>
              <w:top w:color="000000" w:sz="4" w:val="single"/>
              <w:left w:color="000000" w:sz="4" w:val="single"/>
              <w:bottom w:color="000000" w:sz="4" w:val="single"/>
              <w:right w:color="000000" w:sz="4" w:val="single"/>
            </w:tcBorders>
            <w:tcMar>
              <w:top w:type="dxa" w:w="0"/>
              <w:left w:type="dxa" w:w="0"/>
              <w:bottom w:type="dxa" w:w="0"/>
              <w:right w:type="dxa" w:w="0"/>
            </w:tcMar>
          </w:tcPr>
          <w:p w14:paraId="FE020000">
            <w:pPr>
              <w:widowControl w:val="0"/>
              <w:spacing w:before="0" w:line="240" w:lineRule="auto"/>
              <w:ind w:firstLine="0" w:left="0"/>
              <w:jc w:val="center"/>
            </w:pPr>
            <w:r>
              <w:t>9</w:t>
            </w:r>
          </w:p>
        </w:tc>
      </w:tr>
      <w:tr>
        <w:tc>
          <w:tcPr>
            <w:tcW w:type="dxa" w:w="485"/>
            <w:tcBorders>
              <w:top w:color="000000" w:sz="4" w:val="single"/>
              <w:left w:color="000000" w:sz="4" w:val="single"/>
              <w:bottom w:color="000000" w:sz="4" w:val="single"/>
              <w:right w:color="000000" w:sz="4" w:val="single"/>
            </w:tcBorders>
            <w:tcMar>
              <w:top w:type="dxa" w:w="0"/>
              <w:left w:type="dxa" w:w="0"/>
              <w:bottom w:type="dxa" w:w="0"/>
              <w:right w:type="dxa" w:w="0"/>
            </w:tcMar>
          </w:tcPr>
          <w:p w14:paraId="FF020000">
            <w:pPr>
              <w:widowControl w:val="0"/>
              <w:spacing w:before="0" w:line="240" w:lineRule="auto"/>
              <w:ind w:firstLine="0" w:left="0"/>
              <w:jc w:val="center"/>
            </w:pPr>
            <w:r>
              <w:t>1</w:t>
            </w:r>
          </w:p>
        </w:tc>
        <w:tc>
          <w:tcPr>
            <w:tcW w:type="dxa" w:w="943"/>
            <w:tcBorders>
              <w:top w:color="000000" w:sz="4" w:val="single"/>
              <w:left w:color="000000" w:sz="4" w:val="single"/>
              <w:bottom w:color="000000" w:sz="4" w:val="single"/>
              <w:right w:color="000000" w:sz="4" w:val="single"/>
            </w:tcBorders>
            <w:tcMar>
              <w:top w:type="dxa" w:w="0"/>
              <w:left w:type="dxa" w:w="0"/>
              <w:bottom w:type="dxa" w:w="0"/>
              <w:right w:type="dxa" w:w="0"/>
            </w:tcMar>
          </w:tcPr>
          <w:p w14:paraId="00030000">
            <w:pPr>
              <w:widowControl w:val="0"/>
              <w:spacing w:before="0" w:line="240" w:lineRule="auto"/>
              <w:ind w:firstLine="0" w:left="0"/>
              <w:jc w:val="left"/>
            </w:pPr>
          </w:p>
        </w:tc>
        <w:tc>
          <w:tcPr>
            <w:tcW w:type="dxa" w:w="683"/>
            <w:tcBorders>
              <w:top w:color="000000" w:sz="4" w:val="single"/>
              <w:left w:color="000000" w:sz="4" w:val="single"/>
              <w:bottom w:color="000000" w:sz="4" w:val="single"/>
              <w:right w:color="000000" w:sz="4" w:val="single"/>
            </w:tcBorders>
            <w:tcMar>
              <w:top w:type="dxa" w:w="0"/>
              <w:left w:type="dxa" w:w="0"/>
              <w:bottom w:type="dxa" w:w="0"/>
              <w:right w:type="dxa" w:w="0"/>
            </w:tcMar>
          </w:tcPr>
          <w:p w14:paraId="01030000">
            <w:pPr>
              <w:widowControl w:val="0"/>
              <w:spacing w:before="0" w:line="240" w:lineRule="auto"/>
              <w:ind w:firstLine="0" w:left="0"/>
              <w:jc w:val="left"/>
            </w:pPr>
          </w:p>
        </w:tc>
        <w:tc>
          <w:tcPr>
            <w:tcW w:type="dxa" w:w="520"/>
            <w:tcBorders>
              <w:top w:color="000000" w:sz="4" w:val="single"/>
              <w:left w:color="000000" w:sz="4" w:val="single"/>
              <w:bottom w:color="000000" w:sz="4" w:val="single"/>
              <w:right w:color="000000" w:sz="4" w:val="single"/>
            </w:tcBorders>
            <w:tcMar>
              <w:top w:type="dxa" w:w="0"/>
              <w:left w:type="dxa" w:w="0"/>
              <w:bottom w:type="dxa" w:w="0"/>
              <w:right w:type="dxa" w:w="0"/>
            </w:tcMar>
          </w:tcPr>
          <w:p w14:paraId="02030000">
            <w:pPr>
              <w:widowControl w:val="0"/>
              <w:spacing w:before="0" w:line="240" w:lineRule="auto"/>
              <w:ind w:firstLine="0" w:left="0"/>
              <w:jc w:val="left"/>
            </w:pPr>
          </w:p>
        </w:tc>
        <w:tc>
          <w:tcPr>
            <w:tcW w:type="dxa" w:w="506"/>
            <w:tcBorders>
              <w:top w:color="000000" w:sz="4" w:val="single"/>
              <w:left w:color="000000" w:sz="4" w:val="single"/>
              <w:bottom w:color="000000" w:sz="4" w:val="single"/>
              <w:right w:color="000000" w:sz="4" w:val="single"/>
            </w:tcBorders>
            <w:tcMar>
              <w:top w:type="dxa" w:w="0"/>
              <w:left w:type="dxa" w:w="0"/>
              <w:bottom w:type="dxa" w:w="0"/>
              <w:right w:type="dxa" w:w="0"/>
            </w:tcMar>
          </w:tcPr>
          <w:p w14:paraId="03030000">
            <w:pPr>
              <w:widowControl w:val="0"/>
              <w:spacing w:before="0" w:line="240" w:lineRule="auto"/>
              <w:ind w:firstLine="0" w:left="0"/>
              <w:jc w:val="left"/>
            </w:pPr>
          </w:p>
        </w:tc>
        <w:tc>
          <w:tcPr>
            <w:tcW w:type="dxa" w:w="1659"/>
            <w:tcBorders>
              <w:top w:color="000000" w:sz="4" w:val="single"/>
              <w:left w:color="000000" w:sz="4" w:val="single"/>
              <w:bottom w:color="000000" w:sz="4" w:val="single"/>
              <w:right w:color="000000" w:sz="4" w:val="single"/>
            </w:tcBorders>
            <w:tcMar>
              <w:top w:type="dxa" w:w="0"/>
              <w:left w:type="dxa" w:w="0"/>
              <w:bottom w:type="dxa" w:w="0"/>
              <w:right w:type="dxa" w:w="0"/>
            </w:tcMar>
          </w:tcPr>
          <w:p w14:paraId="04030000">
            <w:pPr>
              <w:widowControl w:val="0"/>
              <w:spacing w:before="0" w:line="240" w:lineRule="auto"/>
              <w:ind w:firstLine="0" w:left="0"/>
              <w:jc w:val="left"/>
            </w:pPr>
          </w:p>
        </w:tc>
        <w:tc>
          <w:tcPr>
            <w:tcW w:type="dxa" w:w="976"/>
            <w:tcBorders>
              <w:top w:color="000000" w:sz="4" w:val="single"/>
              <w:left w:color="000000" w:sz="4" w:val="single"/>
              <w:bottom w:color="000000" w:sz="4" w:val="single"/>
              <w:right w:color="000000" w:sz="4" w:val="single"/>
            </w:tcBorders>
            <w:tcMar>
              <w:top w:type="dxa" w:w="0"/>
              <w:left w:type="dxa" w:w="0"/>
              <w:bottom w:type="dxa" w:w="0"/>
              <w:right w:type="dxa" w:w="0"/>
            </w:tcMar>
          </w:tcPr>
          <w:p w14:paraId="05030000">
            <w:pPr>
              <w:widowControl w:val="0"/>
              <w:spacing w:before="0" w:line="240" w:lineRule="auto"/>
              <w:ind w:firstLine="0" w:left="0"/>
              <w:jc w:val="left"/>
            </w:pPr>
          </w:p>
        </w:tc>
        <w:tc>
          <w:tcPr>
            <w:tcW w:type="dxa" w:w="2245"/>
            <w:tcBorders>
              <w:top w:color="000000" w:sz="4" w:val="single"/>
              <w:left w:color="000000" w:sz="4" w:val="single"/>
              <w:bottom w:color="000000" w:sz="4" w:val="single"/>
              <w:right w:color="000000" w:sz="4" w:val="single"/>
            </w:tcBorders>
            <w:tcMar>
              <w:top w:type="dxa" w:w="0"/>
              <w:left w:type="dxa" w:w="0"/>
              <w:bottom w:type="dxa" w:w="0"/>
              <w:right w:type="dxa" w:w="0"/>
            </w:tcMar>
          </w:tcPr>
          <w:p w14:paraId="06030000">
            <w:pPr>
              <w:widowControl w:val="0"/>
              <w:spacing w:before="0" w:line="240" w:lineRule="auto"/>
              <w:ind w:firstLine="0" w:left="0"/>
              <w:jc w:val="left"/>
            </w:pPr>
          </w:p>
        </w:tc>
        <w:tc>
          <w:tcPr>
            <w:tcW w:type="dxa" w:w="911"/>
            <w:tcBorders>
              <w:top w:color="000000" w:sz="4" w:val="single"/>
              <w:left w:color="000000" w:sz="4" w:val="single"/>
              <w:bottom w:color="000000" w:sz="4" w:val="single"/>
              <w:right w:color="000000" w:sz="4" w:val="single"/>
            </w:tcBorders>
            <w:tcMar>
              <w:top w:type="dxa" w:w="0"/>
              <w:left w:type="dxa" w:w="0"/>
              <w:bottom w:type="dxa" w:w="0"/>
              <w:right w:type="dxa" w:w="0"/>
            </w:tcMar>
          </w:tcPr>
          <w:p w14:paraId="07030000">
            <w:pPr>
              <w:widowControl w:val="0"/>
              <w:spacing w:before="0" w:line="240" w:lineRule="auto"/>
              <w:ind w:firstLine="0" w:left="0"/>
              <w:jc w:val="left"/>
            </w:pPr>
          </w:p>
        </w:tc>
      </w:tr>
      <w:tr>
        <w:tc>
          <w:tcPr>
            <w:tcW w:type="dxa" w:w="485"/>
            <w:tcBorders>
              <w:top w:color="000000" w:sz="4" w:val="single"/>
              <w:left w:color="000000" w:sz="4" w:val="single"/>
              <w:bottom w:color="000000" w:sz="4" w:val="single"/>
              <w:right w:color="000000" w:sz="4" w:val="single"/>
            </w:tcBorders>
            <w:tcMar>
              <w:top w:type="dxa" w:w="0"/>
              <w:left w:type="dxa" w:w="0"/>
              <w:bottom w:type="dxa" w:w="0"/>
              <w:right w:type="dxa" w:w="0"/>
            </w:tcMar>
          </w:tcPr>
          <w:p w14:paraId="08030000">
            <w:pPr>
              <w:widowControl w:val="0"/>
              <w:spacing w:before="0" w:line="240" w:lineRule="auto"/>
              <w:ind w:firstLine="0" w:left="0"/>
              <w:jc w:val="center"/>
            </w:pPr>
            <w:r>
              <w:t>...</w:t>
            </w:r>
          </w:p>
        </w:tc>
        <w:tc>
          <w:tcPr>
            <w:tcW w:type="dxa" w:w="943"/>
            <w:tcBorders>
              <w:top w:color="000000" w:sz="4" w:val="single"/>
              <w:left w:color="000000" w:sz="4" w:val="single"/>
              <w:bottom w:color="000000" w:sz="4" w:val="single"/>
              <w:right w:color="000000" w:sz="4" w:val="single"/>
            </w:tcBorders>
            <w:tcMar>
              <w:top w:type="dxa" w:w="0"/>
              <w:left w:type="dxa" w:w="0"/>
              <w:bottom w:type="dxa" w:w="0"/>
              <w:right w:type="dxa" w:w="0"/>
            </w:tcMar>
          </w:tcPr>
          <w:p w14:paraId="09030000">
            <w:pPr>
              <w:widowControl w:val="0"/>
              <w:spacing w:before="0" w:line="240" w:lineRule="auto"/>
              <w:ind w:firstLine="0" w:left="0"/>
              <w:jc w:val="left"/>
            </w:pPr>
          </w:p>
        </w:tc>
        <w:tc>
          <w:tcPr>
            <w:tcW w:type="dxa" w:w="683"/>
            <w:tcBorders>
              <w:top w:color="000000" w:sz="4" w:val="single"/>
              <w:left w:color="000000" w:sz="4" w:val="single"/>
              <w:bottom w:color="000000" w:sz="4" w:val="single"/>
              <w:right w:color="000000" w:sz="4" w:val="single"/>
            </w:tcBorders>
            <w:tcMar>
              <w:top w:type="dxa" w:w="0"/>
              <w:left w:type="dxa" w:w="0"/>
              <w:bottom w:type="dxa" w:w="0"/>
              <w:right w:type="dxa" w:w="0"/>
            </w:tcMar>
          </w:tcPr>
          <w:p w14:paraId="0A030000">
            <w:pPr>
              <w:widowControl w:val="0"/>
              <w:spacing w:before="0" w:line="240" w:lineRule="auto"/>
              <w:ind w:firstLine="0" w:left="0"/>
              <w:jc w:val="left"/>
            </w:pPr>
          </w:p>
        </w:tc>
        <w:tc>
          <w:tcPr>
            <w:tcW w:type="dxa" w:w="520"/>
            <w:tcBorders>
              <w:top w:color="000000" w:sz="4" w:val="single"/>
              <w:left w:color="000000" w:sz="4" w:val="single"/>
              <w:bottom w:color="000000" w:sz="4" w:val="single"/>
              <w:right w:color="000000" w:sz="4" w:val="single"/>
            </w:tcBorders>
            <w:tcMar>
              <w:top w:type="dxa" w:w="0"/>
              <w:left w:type="dxa" w:w="0"/>
              <w:bottom w:type="dxa" w:w="0"/>
              <w:right w:type="dxa" w:w="0"/>
            </w:tcMar>
          </w:tcPr>
          <w:p w14:paraId="0B030000">
            <w:pPr>
              <w:widowControl w:val="0"/>
              <w:spacing w:before="0" w:line="240" w:lineRule="auto"/>
              <w:ind w:firstLine="0" w:left="0"/>
              <w:jc w:val="left"/>
            </w:pPr>
          </w:p>
        </w:tc>
        <w:tc>
          <w:tcPr>
            <w:tcW w:type="dxa" w:w="506"/>
            <w:tcBorders>
              <w:top w:color="000000" w:sz="4" w:val="single"/>
              <w:left w:color="000000" w:sz="4" w:val="single"/>
              <w:bottom w:color="000000" w:sz="4" w:val="single"/>
              <w:right w:color="000000" w:sz="4" w:val="single"/>
            </w:tcBorders>
            <w:tcMar>
              <w:top w:type="dxa" w:w="0"/>
              <w:left w:type="dxa" w:w="0"/>
              <w:bottom w:type="dxa" w:w="0"/>
              <w:right w:type="dxa" w:w="0"/>
            </w:tcMar>
          </w:tcPr>
          <w:p w14:paraId="0C030000">
            <w:pPr>
              <w:widowControl w:val="0"/>
              <w:spacing w:before="0" w:line="240" w:lineRule="auto"/>
              <w:ind w:firstLine="0" w:left="0"/>
              <w:jc w:val="left"/>
            </w:pPr>
          </w:p>
        </w:tc>
        <w:tc>
          <w:tcPr>
            <w:tcW w:type="dxa" w:w="1659"/>
            <w:tcBorders>
              <w:top w:color="000000" w:sz="4" w:val="single"/>
              <w:left w:color="000000" w:sz="4" w:val="single"/>
              <w:bottom w:color="000000" w:sz="4" w:val="single"/>
              <w:right w:color="000000" w:sz="4" w:val="single"/>
            </w:tcBorders>
            <w:tcMar>
              <w:top w:type="dxa" w:w="0"/>
              <w:left w:type="dxa" w:w="0"/>
              <w:bottom w:type="dxa" w:w="0"/>
              <w:right w:type="dxa" w:w="0"/>
            </w:tcMar>
          </w:tcPr>
          <w:p w14:paraId="0D030000">
            <w:pPr>
              <w:widowControl w:val="0"/>
              <w:spacing w:before="0" w:line="240" w:lineRule="auto"/>
              <w:ind w:firstLine="0" w:left="0"/>
              <w:jc w:val="left"/>
            </w:pPr>
          </w:p>
        </w:tc>
        <w:tc>
          <w:tcPr>
            <w:tcW w:type="dxa" w:w="976"/>
            <w:tcBorders>
              <w:top w:color="000000" w:sz="4" w:val="single"/>
              <w:left w:color="000000" w:sz="4" w:val="single"/>
              <w:bottom w:color="000000" w:sz="4" w:val="single"/>
              <w:right w:color="000000" w:sz="4" w:val="single"/>
            </w:tcBorders>
            <w:tcMar>
              <w:top w:type="dxa" w:w="0"/>
              <w:left w:type="dxa" w:w="0"/>
              <w:bottom w:type="dxa" w:w="0"/>
              <w:right w:type="dxa" w:w="0"/>
            </w:tcMar>
          </w:tcPr>
          <w:p w14:paraId="0E030000">
            <w:pPr>
              <w:widowControl w:val="0"/>
              <w:spacing w:before="0" w:line="240" w:lineRule="auto"/>
              <w:ind w:firstLine="0" w:left="0"/>
              <w:jc w:val="left"/>
            </w:pPr>
          </w:p>
        </w:tc>
        <w:tc>
          <w:tcPr>
            <w:tcW w:type="dxa" w:w="2245"/>
            <w:tcBorders>
              <w:top w:color="000000" w:sz="4" w:val="single"/>
              <w:left w:color="000000" w:sz="4" w:val="single"/>
              <w:bottom w:color="000000" w:sz="4" w:val="single"/>
              <w:right w:color="000000" w:sz="4" w:val="single"/>
            </w:tcBorders>
            <w:tcMar>
              <w:top w:type="dxa" w:w="0"/>
              <w:left w:type="dxa" w:w="0"/>
              <w:bottom w:type="dxa" w:w="0"/>
              <w:right w:type="dxa" w:w="0"/>
            </w:tcMar>
          </w:tcPr>
          <w:p w14:paraId="0F030000">
            <w:pPr>
              <w:widowControl w:val="0"/>
              <w:spacing w:before="0" w:line="240" w:lineRule="auto"/>
              <w:ind w:firstLine="0" w:left="0"/>
              <w:jc w:val="left"/>
            </w:pPr>
          </w:p>
        </w:tc>
        <w:tc>
          <w:tcPr>
            <w:tcW w:type="dxa" w:w="911"/>
            <w:tcBorders>
              <w:top w:color="000000" w:sz="4" w:val="single"/>
              <w:left w:color="000000" w:sz="4" w:val="single"/>
              <w:bottom w:color="000000" w:sz="4" w:val="single"/>
              <w:right w:color="000000" w:sz="4" w:val="single"/>
            </w:tcBorders>
            <w:tcMar>
              <w:top w:type="dxa" w:w="0"/>
              <w:left w:type="dxa" w:w="0"/>
              <w:bottom w:type="dxa" w:w="0"/>
              <w:right w:type="dxa" w:w="0"/>
            </w:tcMar>
          </w:tcPr>
          <w:p w14:paraId="10030000">
            <w:pPr>
              <w:widowControl w:val="0"/>
              <w:spacing w:before="0" w:line="240" w:lineRule="auto"/>
              <w:ind w:firstLine="0" w:left="0"/>
              <w:jc w:val="left"/>
            </w:pPr>
          </w:p>
        </w:tc>
      </w:tr>
      <w:tr>
        <w:tc>
          <w:tcPr>
            <w:tcW w:type="dxa" w:w="485"/>
            <w:tcBorders>
              <w:top w:color="000000" w:sz="4" w:val="single"/>
              <w:left w:color="000000" w:sz="4" w:val="single"/>
              <w:bottom w:color="000000" w:sz="4" w:val="single"/>
              <w:right w:color="000000" w:sz="4" w:val="single"/>
            </w:tcBorders>
            <w:tcMar>
              <w:top w:type="dxa" w:w="0"/>
              <w:left w:type="dxa" w:w="0"/>
              <w:bottom w:type="dxa" w:w="0"/>
              <w:right w:type="dxa" w:w="0"/>
            </w:tcMar>
          </w:tcPr>
          <w:p w14:paraId="11030000">
            <w:pPr>
              <w:widowControl w:val="0"/>
              <w:spacing w:before="0" w:line="240" w:lineRule="auto"/>
              <w:ind w:firstLine="0" w:left="0"/>
              <w:jc w:val="center"/>
            </w:pPr>
            <w:r>
              <w:t>n</w:t>
            </w:r>
          </w:p>
        </w:tc>
        <w:tc>
          <w:tcPr>
            <w:tcW w:type="dxa" w:w="943"/>
            <w:tcBorders>
              <w:top w:color="000000" w:sz="4" w:val="single"/>
              <w:left w:color="000000" w:sz="4" w:val="single"/>
              <w:bottom w:color="000000" w:sz="4" w:val="single"/>
              <w:right w:color="000000" w:sz="4" w:val="single"/>
            </w:tcBorders>
            <w:tcMar>
              <w:top w:type="dxa" w:w="0"/>
              <w:left w:type="dxa" w:w="0"/>
              <w:bottom w:type="dxa" w:w="0"/>
              <w:right w:type="dxa" w:w="0"/>
            </w:tcMar>
          </w:tcPr>
          <w:p w14:paraId="12030000">
            <w:pPr>
              <w:widowControl w:val="0"/>
              <w:spacing w:before="0" w:line="240" w:lineRule="auto"/>
              <w:ind w:firstLine="0" w:left="0"/>
              <w:jc w:val="left"/>
            </w:pPr>
          </w:p>
        </w:tc>
        <w:tc>
          <w:tcPr>
            <w:tcW w:type="dxa" w:w="683"/>
            <w:tcBorders>
              <w:top w:color="000000" w:sz="4" w:val="single"/>
              <w:left w:color="000000" w:sz="4" w:val="single"/>
              <w:bottom w:color="000000" w:sz="4" w:val="single"/>
              <w:right w:color="000000" w:sz="4" w:val="single"/>
            </w:tcBorders>
            <w:tcMar>
              <w:top w:type="dxa" w:w="0"/>
              <w:left w:type="dxa" w:w="0"/>
              <w:bottom w:type="dxa" w:w="0"/>
              <w:right w:type="dxa" w:w="0"/>
            </w:tcMar>
          </w:tcPr>
          <w:p w14:paraId="13030000">
            <w:pPr>
              <w:widowControl w:val="0"/>
              <w:spacing w:before="0" w:line="240" w:lineRule="auto"/>
              <w:ind w:firstLine="0" w:left="0"/>
              <w:jc w:val="left"/>
            </w:pPr>
          </w:p>
        </w:tc>
        <w:tc>
          <w:tcPr>
            <w:tcW w:type="dxa" w:w="520"/>
            <w:tcBorders>
              <w:top w:color="000000" w:sz="4" w:val="single"/>
              <w:left w:color="000000" w:sz="4" w:val="single"/>
              <w:bottom w:color="000000" w:sz="4" w:val="single"/>
              <w:right w:color="000000" w:sz="4" w:val="single"/>
            </w:tcBorders>
            <w:tcMar>
              <w:top w:type="dxa" w:w="0"/>
              <w:left w:type="dxa" w:w="0"/>
              <w:bottom w:type="dxa" w:w="0"/>
              <w:right w:type="dxa" w:w="0"/>
            </w:tcMar>
          </w:tcPr>
          <w:p w14:paraId="14030000">
            <w:pPr>
              <w:widowControl w:val="0"/>
              <w:spacing w:before="0" w:line="240" w:lineRule="auto"/>
              <w:ind w:firstLine="0" w:left="0"/>
              <w:jc w:val="left"/>
            </w:pPr>
          </w:p>
        </w:tc>
        <w:tc>
          <w:tcPr>
            <w:tcW w:type="dxa" w:w="506"/>
            <w:tcBorders>
              <w:top w:color="000000" w:sz="4" w:val="single"/>
              <w:left w:color="000000" w:sz="4" w:val="single"/>
              <w:bottom w:color="000000" w:sz="4" w:val="single"/>
              <w:right w:color="000000" w:sz="4" w:val="single"/>
            </w:tcBorders>
            <w:tcMar>
              <w:top w:type="dxa" w:w="0"/>
              <w:left w:type="dxa" w:w="0"/>
              <w:bottom w:type="dxa" w:w="0"/>
              <w:right w:type="dxa" w:w="0"/>
            </w:tcMar>
          </w:tcPr>
          <w:p w14:paraId="15030000">
            <w:pPr>
              <w:widowControl w:val="0"/>
              <w:spacing w:before="0" w:line="240" w:lineRule="auto"/>
              <w:ind w:firstLine="0" w:left="0"/>
              <w:jc w:val="left"/>
            </w:pPr>
          </w:p>
        </w:tc>
        <w:tc>
          <w:tcPr>
            <w:tcW w:type="dxa" w:w="1659"/>
            <w:tcBorders>
              <w:top w:color="000000" w:sz="4" w:val="single"/>
              <w:left w:color="000000" w:sz="4" w:val="single"/>
              <w:bottom w:color="000000" w:sz="4" w:val="single"/>
              <w:right w:color="000000" w:sz="4" w:val="single"/>
            </w:tcBorders>
            <w:tcMar>
              <w:top w:type="dxa" w:w="0"/>
              <w:left w:type="dxa" w:w="0"/>
              <w:bottom w:type="dxa" w:w="0"/>
              <w:right w:type="dxa" w:w="0"/>
            </w:tcMar>
          </w:tcPr>
          <w:p w14:paraId="16030000">
            <w:pPr>
              <w:widowControl w:val="0"/>
              <w:spacing w:before="0" w:line="240" w:lineRule="auto"/>
              <w:ind w:firstLine="0" w:left="0"/>
              <w:jc w:val="left"/>
            </w:pPr>
          </w:p>
        </w:tc>
        <w:tc>
          <w:tcPr>
            <w:tcW w:type="dxa" w:w="976"/>
            <w:tcBorders>
              <w:top w:color="000000" w:sz="4" w:val="single"/>
              <w:left w:color="000000" w:sz="4" w:val="single"/>
              <w:bottom w:color="000000" w:sz="4" w:val="single"/>
              <w:right w:color="000000" w:sz="4" w:val="single"/>
            </w:tcBorders>
            <w:tcMar>
              <w:top w:type="dxa" w:w="0"/>
              <w:left w:type="dxa" w:w="0"/>
              <w:bottom w:type="dxa" w:w="0"/>
              <w:right w:type="dxa" w:w="0"/>
            </w:tcMar>
          </w:tcPr>
          <w:p w14:paraId="17030000">
            <w:pPr>
              <w:widowControl w:val="0"/>
              <w:spacing w:before="0" w:line="240" w:lineRule="auto"/>
              <w:ind w:firstLine="0" w:left="0"/>
              <w:jc w:val="left"/>
            </w:pPr>
          </w:p>
        </w:tc>
        <w:tc>
          <w:tcPr>
            <w:tcW w:type="dxa" w:w="2245"/>
            <w:tcBorders>
              <w:top w:color="000000" w:sz="4" w:val="single"/>
              <w:left w:color="000000" w:sz="4" w:val="single"/>
              <w:bottom w:color="000000" w:sz="4" w:val="single"/>
              <w:right w:color="000000" w:sz="4" w:val="single"/>
            </w:tcBorders>
            <w:tcMar>
              <w:top w:type="dxa" w:w="0"/>
              <w:left w:type="dxa" w:w="0"/>
              <w:bottom w:type="dxa" w:w="0"/>
              <w:right w:type="dxa" w:w="0"/>
            </w:tcMar>
          </w:tcPr>
          <w:p w14:paraId="18030000">
            <w:pPr>
              <w:widowControl w:val="0"/>
              <w:spacing w:before="0" w:line="240" w:lineRule="auto"/>
              <w:ind w:firstLine="0" w:left="0"/>
              <w:jc w:val="left"/>
            </w:pPr>
          </w:p>
        </w:tc>
        <w:tc>
          <w:tcPr>
            <w:tcW w:type="dxa" w:w="911"/>
            <w:tcBorders>
              <w:top w:color="000000" w:sz="4" w:val="single"/>
              <w:left w:color="000000" w:sz="4" w:val="single"/>
              <w:bottom w:color="000000" w:sz="4" w:val="single"/>
              <w:right w:color="000000" w:sz="4" w:val="single"/>
            </w:tcBorders>
            <w:tcMar>
              <w:top w:type="dxa" w:w="0"/>
              <w:left w:type="dxa" w:w="0"/>
              <w:bottom w:type="dxa" w:w="0"/>
              <w:right w:type="dxa" w:w="0"/>
            </w:tcMar>
          </w:tcPr>
          <w:p w14:paraId="19030000">
            <w:pPr>
              <w:widowControl w:val="0"/>
              <w:spacing w:before="0" w:line="240" w:lineRule="auto"/>
              <w:ind w:firstLine="0" w:left="0"/>
              <w:jc w:val="left"/>
            </w:pPr>
          </w:p>
        </w:tc>
      </w:tr>
    </w:tbl>
    <w:p w14:paraId="1A03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8929"/>
      </w:tblGrid>
      <w:tr>
        <w:tc>
          <w:tcPr>
            <w:tcW w:type="dxa" w:w="8929"/>
            <w:tcMar>
              <w:top w:type="dxa" w:w="0"/>
              <w:left w:type="dxa" w:w="0"/>
              <w:bottom w:type="dxa" w:w="0"/>
              <w:right w:type="dxa" w:w="0"/>
            </w:tcMar>
          </w:tcPr>
          <w:p w14:paraId="1B030000">
            <w:pPr>
              <w:widowControl w:val="0"/>
              <w:spacing w:before="0" w:line="240" w:lineRule="auto"/>
              <w:ind w:firstLine="283" w:left="0"/>
              <w:jc w:val="both"/>
            </w:pPr>
            <w:r>
              <w:t>Объем фактически понесенных затрат: _____________________ рублей (сумма показателей графы 9)</w:t>
            </w:r>
          </w:p>
        </w:tc>
      </w:tr>
    </w:tbl>
    <w:p w14:paraId="1C03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3013"/>
        <w:gridCol w:w="1953"/>
        <w:gridCol w:w="335"/>
        <w:gridCol w:w="3628"/>
      </w:tblGrid>
      <w:tr>
        <w:tc>
          <w:tcPr>
            <w:tcW w:type="dxa" w:w="3013"/>
            <w:tcMar>
              <w:top w:type="dxa" w:w="0"/>
              <w:left w:type="dxa" w:w="0"/>
              <w:bottom w:type="dxa" w:w="0"/>
              <w:right w:type="dxa" w:w="0"/>
            </w:tcMar>
            <w:vAlign w:val="bottom"/>
          </w:tcPr>
          <w:p w14:paraId="1D030000">
            <w:pPr>
              <w:widowControl w:val="0"/>
              <w:spacing w:before="0" w:line="240" w:lineRule="auto"/>
              <w:ind w:firstLine="0" w:left="0"/>
              <w:jc w:val="left"/>
            </w:pPr>
            <w:r>
              <w:t>Руководитель организации</w:t>
            </w:r>
          </w:p>
        </w:tc>
        <w:tc>
          <w:tcPr>
            <w:tcW w:type="dxa" w:w="1953"/>
            <w:tcBorders>
              <w:bottom w:color="000000" w:sz="4" w:val="single"/>
            </w:tcBorders>
            <w:tcMar>
              <w:top w:type="dxa" w:w="0"/>
              <w:left w:type="dxa" w:w="0"/>
              <w:bottom w:type="dxa" w:w="0"/>
              <w:right w:type="dxa" w:w="0"/>
            </w:tcMar>
          </w:tcPr>
          <w:p w14:paraId="1E030000">
            <w:pPr>
              <w:widowControl w:val="0"/>
              <w:spacing w:before="0" w:line="240" w:lineRule="auto"/>
              <w:ind w:firstLine="0" w:left="0"/>
              <w:jc w:val="left"/>
            </w:pPr>
          </w:p>
        </w:tc>
        <w:tc>
          <w:tcPr>
            <w:tcW w:type="dxa" w:w="335"/>
            <w:tcMar>
              <w:top w:type="dxa" w:w="0"/>
              <w:left w:type="dxa" w:w="0"/>
              <w:bottom w:type="dxa" w:w="0"/>
              <w:right w:type="dxa" w:w="0"/>
            </w:tcMar>
          </w:tcPr>
          <w:p w14:paraId="1F030000">
            <w:pPr>
              <w:widowControl w:val="0"/>
              <w:spacing w:before="0" w:line="240" w:lineRule="auto"/>
              <w:ind w:firstLine="0" w:left="0"/>
              <w:jc w:val="left"/>
            </w:pPr>
          </w:p>
        </w:tc>
        <w:tc>
          <w:tcPr>
            <w:tcW w:type="dxa" w:w="3628"/>
            <w:tcBorders>
              <w:bottom w:color="000000" w:sz="4" w:val="single"/>
            </w:tcBorders>
            <w:tcMar>
              <w:top w:type="dxa" w:w="0"/>
              <w:left w:type="dxa" w:w="0"/>
              <w:bottom w:type="dxa" w:w="0"/>
              <w:right w:type="dxa" w:w="0"/>
            </w:tcMar>
          </w:tcPr>
          <w:p w14:paraId="20030000">
            <w:pPr>
              <w:widowControl w:val="0"/>
              <w:spacing w:before="0" w:line="240" w:lineRule="auto"/>
              <w:ind w:firstLine="0" w:left="0"/>
              <w:jc w:val="left"/>
            </w:pPr>
          </w:p>
        </w:tc>
      </w:tr>
      <w:tr>
        <w:tc>
          <w:tcPr>
            <w:tcW w:type="dxa" w:w="3013"/>
            <w:tcMar>
              <w:top w:type="dxa" w:w="0"/>
              <w:left w:type="dxa" w:w="0"/>
              <w:bottom w:type="dxa" w:w="0"/>
              <w:right w:type="dxa" w:w="0"/>
            </w:tcMar>
          </w:tcPr>
          <w:p w14:paraId="21030000">
            <w:pPr>
              <w:widowControl w:val="0"/>
              <w:spacing w:before="0" w:line="240" w:lineRule="auto"/>
              <w:ind w:firstLine="0" w:left="0"/>
              <w:jc w:val="left"/>
            </w:pPr>
          </w:p>
        </w:tc>
        <w:tc>
          <w:tcPr>
            <w:tcW w:type="dxa" w:w="1953"/>
            <w:tcBorders>
              <w:top w:color="000000" w:sz="4" w:val="single"/>
            </w:tcBorders>
            <w:tcMar>
              <w:top w:type="dxa" w:w="0"/>
              <w:left w:type="dxa" w:w="0"/>
              <w:bottom w:type="dxa" w:w="0"/>
              <w:right w:type="dxa" w:w="0"/>
            </w:tcMar>
          </w:tcPr>
          <w:p w14:paraId="22030000">
            <w:pPr>
              <w:widowControl w:val="0"/>
              <w:spacing w:before="0" w:line="240" w:lineRule="auto"/>
              <w:ind w:firstLine="0" w:left="0"/>
              <w:jc w:val="center"/>
            </w:pPr>
            <w:r>
              <w:t>(подпись)</w:t>
            </w:r>
          </w:p>
        </w:tc>
        <w:tc>
          <w:tcPr>
            <w:tcW w:type="dxa" w:w="335"/>
            <w:tcMar>
              <w:top w:type="dxa" w:w="0"/>
              <w:left w:type="dxa" w:w="0"/>
              <w:bottom w:type="dxa" w:w="0"/>
              <w:right w:type="dxa" w:w="0"/>
            </w:tcMar>
          </w:tcPr>
          <w:p w14:paraId="23030000">
            <w:pPr>
              <w:widowControl w:val="0"/>
              <w:spacing w:before="0" w:line="240" w:lineRule="auto"/>
              <w:ind w:firstLine="0" w:left="0"/>
              <w:jc w:val="left"/>
            </w:pPr>
          </w:p>
        </w:tc>
        <w:tc>
          <w:tcPr>
            <w:tcW w:type="dxa" w:w="3628"/>
            <w:tcBorders>
              <w:top w:color="000000" w:sz="4" w:val="single"/>
            </w:tcBorders>
            <w:tcMar>
              <w:top w:type="dxa" w:w="0"/>
              <w:left w:type="dxa" w:w="0"/>
              <w:bottom w:type="dxa" w:w="0"/>
              <w:right w:type="dxa" w:w="0"/>
            </w:tcMar>
          </w:tcPr>
          <w:p w14:paraId="24030000">
            <w:pPr>
              <w:widowControl w:val="0"/>
              <w:spacing w:before="0" w:line="240" w:lineRule="auto"/>
              <w:ind w:firstLine="0" w:left="0"/>
              <w:jc w:val="center"/>
            </w:pPr>
            <w:r>
              <w:t>(фамилия, имя, отчество (при наличии)</w:t>
            </w:r>
          </w:p>
        </w:tc>
      </w:tr>
      <w:tr>
        <w:tc>
          <w:tcPr>
            <w:tcW w:type="dxa" w:w="3013"/>
            <w:tcMar>
              <w:top w:type="dxa" w:w="0"/>
              <w:left w:type="dxa" w:w="0"/>
              <w:bottom w:type="dxa" w:w="0"/>
              <w:right w:type="dxa" w:w="0"/>
            </w:tcMar>
            <w:vAlign w:val="bottom"/>
          </w:tcPr>
          <w:p w14:paraId="25030000">
            <w:pPr>
              <w:widowControl w:val="0"/>
              <w:spacing w:before="0" w:line="240" w:lineRule="auto"/>
              <w:ind w:firstLine="0" w:left="0"/>
              <w:jc w:val="left"/>
            </w:pPr>
            <w:r>
              <w:t>Главный бухгалтер</w:t>
            </w:r>
          </w:p>
        </w:tc>
        <w:tc>
          <w:tcPr>
            <w:tcW w:type="dxa" w:w="1953"/>
            <w:tcBorders>
              <w:bottom w:color="000000" w:sz="4" w:val="single"/>
            </w:tcBorders>
            <w:tcMar>
              <w:top w:type="dxa" w:w="0"/>
              <w:left w:type="dxa" w:w="0"/>
              <w:bottom w:type="dxa" w:w="0"/>
              <w:right w:type="dxa" w:w="0"/>
            </w:tcMar>
          </w:tcPr>
          <w:p w14:paraId="26030000">
            <w:pPr>
              <w:widowControl w:val="0"/>
              <w:spacing w:before="0" w:line="240" w:lineRule="auto"/>
              <w:ind w:firstLine="0" w:left="0"/>
              <w:jc w:val="left"/>
            </w:pPr>
          </w:p>
        </w:tc>
        <w:tc>
          <w:tcPr>
            <w:tcW w:type="dxa" w:w="335"/>
            <w:tcMar>
              <w:top w:type="dxa" w:w="0"/>
              <w:left w:type="dxa" w:w="0"/>
              <w:bottom w:type="dxa" w:w="0"/>
              <w:right w:type="dxa" w:w="0"/>
            </w:tcMar>
          </w:tcPr>
          <w:p w14:paraId="27030000">
            <w:pPr>
              <w:widowControl w:val="0"/>
              <w:spacing w:before="0" w:line="240" w:lineRule="auto"/>
              <w:ind w:firstLine="0" w:left="0"/>
              <w:jc w:val="left"/>
            </w:pPr>
          </w:p>
        </w:tc>
        <w:tc>
          <w:tcPr>
            <w:tcW w:type="dxa" w:w="3628"/>
            <w:tcBorders>
              <w:bottom w:color="000000" w:sz="4" w:val="single"/>
            </w:tcBorders>
            <w:tcMar>
              <w:top w:type="dxa" w:w="0"/>
              <w:left w:type="dxa" w:w="0"/>
              <w:bottom w:type="dxa" w:w="0"/>
              <w:right w:type="dxa" w:w="0"/>
            </w:tcMar>
          </w:tcPr>
          <w:p w14:paraId="28030000">
            <w:pPr>
              <w:widowControl w:val="0"/>
              <w:spacing w:before="0" w:line="240" w:lineRule="auto"/>
              <w:ind w:firstLine="0" w:left="0"/>
              <w:jc w:val="left"/>
            </w:pPr>
          </w:p>
        </w:tc>
      </w:tr>
      <w:tr>
        <w:tc>
          <w:tcPr>
            <w:tcW w:type="dxa" w:w="3013"/>
            <w:tcMar>
              <w:top w:type="dxa" w:w="0"/>
              <w:left w:type="dxa" w:w="0"/>
              <w:bottom w:type="dxa" w:w="0"/>
              <w:right w:type="dxa" w:w="0"/>
            </w:tcMar>
          </w:tcPr>
          <w:p w14:paraId="29030000">
            <w:pPr>
              <w:widowControl w:val="0"/>
              <w:spacing w:before="0" w:line="240" w:lineRule="auto"/>
              <w:ind w:firstLine="0" w:left="0"/>
              <w:jc w:val="left"/>
            </w:pPr>
          </w:p>
        </w:tc>
        <w:tc>
          <w:tcPr>
            <w:tcW w:type="dxa" w:w="1953"/>
            <w:tcBorders>
              <w:top w:color="000000" w:sz="4" w:val="single"/>
            </w:tcBorders>
            <w:tcMar>
              <w:top w:type="dxa" w:w="0"/>
              <w:left w:type="dxa" w:w="0"/>
              <w:bottom w:type="dxa" w:w="0"/>
              <w:right w:type="dxa" w:w="0"/>
            </w:tcMar>
          </w:tcPr>
          <w:p w14:paraId="2A030000">
            <w:pPr>
              <w:widowControl w:val="0"/>
              <w:spacing w:before="0" w:line="240" w:lineRule="auto"/>
              <w:ind w:firstLine="0" w:left="0"/>
              <w:jc w:val="center"/>
            </w:pPr>
            <w:r>
              <w:t>(подпись)</w:t>
            </w:r>
          </w:p>
        </w:tc>
        <w:tc>
          <w:tcPr>
            <w:tcW w:type="dxa" w:w="335"/>
            <w:tcMar>
              <w:top w:type="dxa" w:w="0"/>
              <w:left w:type="dxa" w:w="0"/>
              <w:bottom w:type="dxa" w:w="0"/>
              <w:right w:type="dxa" w:w="0"/>
            </w:tcMar>
          </w:tcPr>
          <w:p w14:paraId="2B030000">
            <w:pPr>
              <w:widowControl w:val="0"/>
              <w:spacing w:before="0" w:line="240" w:lineRule="auto"/>
              <w:ind w:firstLine="0" w:left="0"/>
              <w:jc w:val="left"/>
            </w:pPr>
          </w:p>
        </w:tc>
        <w:tc>
          <w:tcPr>
            <w:tcW w:type="dxa" w:w="3628"/>
            <w:tcBorders>
              <w:top w:color="000000" w:sz="4" w:val="single"/>
            </w:tcBorders>
            <w:tcMar>
              <w:top w:type="dxa" w:w="0"/>
              <w:left w:type="dxa" w:w="0"/>
              <w:bottom w:type="dxa" w:w="0"/>
              <w:right w:type="dxa" w:w="0"/>
            </w:tcMar>
          </w:tcPr>
          <w:p w14:paraId="2C030000">
            <w:pPr>
              <w:widowControl w:val="0"/>
              <w:spacing w:before="0" w:line="240" w:lineRule="auto"/>
              <w:ind w:firstLine="0" w:left="0"/>
              <w:jc w:val="center"/>
            </w:pPr>
            <w:r>
              <w:t>(фамилия, имя, отчество (при наличии)</w:t>
            </w:r>
          </w:p>
        </w:tc>
      </w:tr>
      <w:tr>
        <w:tc>
          <w:tcPr>
            <w:tcW w:type="dxa" w:w="3013"/>
            <w:tcMar>
              <w:top w:type="dxa" w:w="0"/>
              <w:left w:type="dxa" w:w="0"/>
              <w:bottom w:type="dxa" w:w="0"/>
              <w:right w:type="dxa" w:w="0"/>
            </w:tcMar>
            <w:vAlign w:val="bottom"/>
          </w:tcPr>
          <w:p w14:paraId="2D030000">
            <w:pPr>
              <w:widowControl w:val="0"/>
              <w:spacing w:before="0" w:line="240" w:lineRule="auto"/>
              <w:ind w:firstLine="0" w:left="0"/>
              <w:jc w:val="left"/>
            </w:pPr>
            <w:r>
              <w:t>МП (при наличии)</w:t>
            </w:r>
          </w:p>
        </w:tc>
        <w:tc>
          <w:tcPr>
            <w:tcW w:type="dxa" w:w="1953"/>
            <w:tcMar>
              <w:top w:type="dxa" w:w="0"/>
              <w:left w:type="dxa" w:w="0"/>
              <w:bottom w:type="dxa" w:w="0"/>
              <w:right w:type="dxa" w:w="0"/>
            </w:tcMar>
          </w:tcPr>
          <w:p w14:paraId="2E030000">
            <w:pPr>
              <w:widowControl w:val="0"/>
              <w:spacing w:before="0" w:line="240" w:lineRule="auto"/>
              <w:ind w:firstLine="0" w:left="0"/>
              <w:jc w:val="left"/>
            </w:pPr>
          </w:p>
        </w:tc>
        <w:tc>
          <w:tcPr>
            <w:tcW w:type="dxa" w:w="335"/>
            <w:tcMar>
              <w:top w:type="dxa" w:w="0"/>
              <w:left w:type="dxa" w:w="0"/>
              <w:bottom w:type="dxa" w:w="0"/>
              <w:right w:type="dxa" w:w="0"/>
            </w:tcMar>
          </w:tcPr>
          <w:p w14:paraId="2F030000">
            <w:pPr>
              <w:widowControl w:val="0"/>
              <w:spacing w:before="0" w:line="240" w:lineRule="auto"/>
              <w:ind w:firstLine="0" w:left="0"/>
              <w:jc w:val="left"/>
            </w:pPr>
          </w:p>
        </w:tc>
        <w:tc>
          <w:tcPr>
            <w:tcW w:type="dxa" w:w="3628"/>
            <w:tcMar>
              <w:top w:type="dxa" w:w="0"/>
              <w:left w:type="dxa" w:w="0"/>
              <w:bottom w:type="dxa" w:w="0"/>
              <w:right w:type="dxa" w:w="0"/>
            </w:tcMar>
          </w:tcPr>
          <w:p w14:paraId="30030000">
            <w:pPr>
              <w:widowControl w:val="0"/>
              <w:spacing w:before="0" w:line="240" w:lineRule="auto"/>
              <w:ind w:firstLine="0" w:left="0"/>
              <w:jc w:val="center"/>
            </w:pPr>
            <w:r>
              <w:t>«__» ___________ 20__ г.</w:t>
            </w:r>
          </w:p>
        </w:tc>
      </w:tr>
    </w:tbl>
    <w:p w14:paraId="31030000">
      <w:pPr>
        <w:widowControl w:val="0"/>
        <w:spacing w:before="0" w:line="240" w:lineRule="auto"/>
        <w:ind w:firstLine="0" w:left="0"/>
        <w:jc w:val="both"/>
      </w:pPr>
    </w:p>
    <w:tbl>
      <w:tblPr>
        <w:tblStyle w:val="Style_3"/>
        <w:tblInd w:type="dxa" w:w="0"/>
        <w:tblLayout w:type="fixed"/>
        <w:tblCellMar>
          <w:top w:type="dxa" w:w="0"/>
          <w:left w:type="dxa" w:w="0"/>
          <w:bottom w:type="dxa" w:w="0"/>
          <w:right w:type="dxa" w:w="0"/>
        </w:tblCellMar>
      </w:tblPr>
      <w:tblGrid>
        <w:gridCol w:w="3013"/>
        <w:gridCol w:w="1953"/>
        <w:gridCol w:w="335"/>
        <w:gridCol w:w="3628"/>
      </w:tblGrid>
      <w:tr>
        <w:tc>
          <w:tcPr>
            <w:tcW w:type="dxa" w:w="3013"/>
            <w:tcMar>
              <w:top w:type="dxa" w:w="0"/>
              <w:left w:type="dxa" w:w="0"/>
              <w:bottom w:type="dxa" w:w="0"/>
              <w:right w:type="dxa" w:w="0"/>
            </w:tcMar>
            <w:vAlign w:val="center"/>
          </w:tcPr>
          <w:p w14:paraId="32030000">
            <w:pPr>
              <w:widowControl w:val="0"/>
              <w:spacing w:before="0" w:line="240" w:lineRule="auto"/>
              <w:ind w:firstLine="0" w:left="0"/>
              <w:jc w:val="left"/>
            </w:pPr>
            <w:r>
              <w:t>Расчет подтверждается</w:t>
            </w:r>
          </w:p>
        </w:tc>
        <w:tc>
          <w:tcPr>
            <w:tcW w:type="dxa" w:w="1953"/>
            <w:tcMar>
              <w:top w:type="dxa" w:w="0"/>
              <w:left w:type="dxa" w:w="0"/>
              <w:bottom w:type="dxa" w:w="0"/>
              <w:right w:type="dxa" w:w="0"/>
            </w:tcMar>
          </w:tcPr>
          <w:p w14:paraId="33030000">
            <w:pPr>
              <w:widowControl w:val="0"/>
              <w:spacing w:before="0" w:line="240" w:lineRule="auto"/>
              <w:ind w:firstLine="0" w:left="0"/>
              <w:jc w:val="left"/>
            </w:pPr>
          </w:p>
        </w:tc>
        <w:tc>
          <w:tcPr>
            <w:tcW w:type="dxa" w:w="335"/>
            <w:tcMar>
              <w:top w:type="dxa" w:w="0"/>
              <w:left w:type="dxa" w:w="0"/>
              <w:bottom w:type="dxa" w:w="0"/>
              <w:right w:type="dxa" w:w="0"/>
            </w:tcMar>
          </w:tcPr>
          <w:p w14:paraId="34030000">
            <w:pPr>
              <w:widowControl w:val="0"/>
              <w:spacing w:before="0" w:line="240" w:lineRule="auto"/>
              <w:ind w:firstLine="0" w:left="0"/>
              <w:jc w:val="left"/>
            </w:pPr>
          </w:p>
        </w:tc>
        <w:tc>
          <w:tcPr>
            <w:tcW w:type="dxa" w:w="3628"/>
            <w:tcMar>
              <w:top w:type="dxa" w:w="0"/>
              <w:left w:type="dxa" w:w="0"/>
              <w:bottom w:type="dxa" w:w="0"/>
              <w:right w:type="dxa" w:w="0"/>
            </w:tcMar>
          </w:tcPr>
          <w:p w14:paraId="35030000">
            <w:pPr>
              <w:widowControl w:val="0"/>
              <w:spacing w:before="0" w:line="240" w:lineRule="auto"/>
              <w:ind w:firstLine="0" w:left="0"/>
              <w:jc w:val="left"/>
            </w:pPr>
          </w:p>
        </w:tc>
      </w:tr>
      <w:tr>
        <w:tc>
          <w:tcPr>
            <w:tcW w:type="dxa" w:w="3013"/>
            <w:tcMar>
              <w:top w:type="dxa" w:w="0"/>
              <w:left w:type="dxa" w:w="0"/>
              <w:bottom w:type="dxa" w:w="0"/>
              <w:right w:type="dxa" w:w="0"/>
            </w:tcMar>
            <w:vAlign w:val="bottom"/>
          </w:tcPr>
          <w:p w14:paraId="36030000">
            <w:pPr>
              <w:widowControl w:val="0"/>
              <w:spacing w:before="0" w:line="240" w:lineRule="auto"/>
              <w:ind w:firstLine="0" w:left="0"/>
              <w:jc w:val="left"/>
            </w:pPr>
            <w:r>
              <w:t>Уполномоченное лицо кредитной организации (иной организации)</w:t>
            </w:r>
          </w:p>
        </w:tc>
        <w:tc>
          <w:tcPr>
            <w:tcW w:type="dxa" w:w="1953"/>
            <w:tcBorders>
              <w:bottom w:color="000000" w:sz="4" w:val="single"/>
            </w:tcBorders>
            <w:tcMar>
              <w:top w:type="dxa" w:w="0"/>
              <w:left w:type="dxa" w:w="0"/>
              <w:bottom w:type="dxa" w:w="0"/>
              <w:right w:type="dxa" w:w="0"/>
            </w:tcMar>
          </w:tcPr>
          <w:p w14:paraId="37030000">
            <w:pPr>
              <w:widowControl w:val="0"/>
              <w:spacing w:before="0" w:line="240" w:lineRule="auto"/>
              <w:ind w:firstLine="0" w:left="0"/>
              <w:jc w:val="left"/>
            </w:pPr>
          </w:p>
        </w:tc>
        <w:tc>
          <w:tcPr>
            <w:tcW w:type="dxa" w:w="335"/>
            <w:tcMar>
              <w:top w:type="dxa" w:w="0"/>
              <w:left w:type="dxa" w:w="0"/>
              <w:bottom w:type="dxa" w:w="0"/>
              <w:right w:type="dxa" w:w="0"/>
            </w:tcMar>
          </w:tcPr>
          <w:p w14:paraId="38030000">
            <w:pPr>
              <w:widowControl w:val="0"/>
              <w:spacing w:before="0" w:line="240" w:lineRule="auto"/>
              <w:ind w:firstLine="0" w:left="0"/>
              <w:jc w:val="left"/>
            </w:pPr>
          </w:p>
        </w:tc>
        <w:tc>
          <w:tcPr>
            <w:tcW w:type="dxa" w:w="3628"/>
            <w:tcBorders>
              <w:bottom w:color="000000" w:sz="4" w:val="single"/>
            </w:tcBorders>
            <w:tcMar>
              <w:top w:type="dxa" w:w="0"/>
              <w:left w:type="dxa" w:w="0"/>
              <w:bottom w:type="dxa" w:w="0"/>
              <w:right w:type="dxa" w:w="0"/>
            </w:tcMar>
          </w:tcPr>
          <w:p w14:paraId="39030000">
            <w:pPr>
              <w:widowControl w:val="0"/>
              <w:spacing w:before="0" w:line="240" w:lineRule="auto"/>
              <w:ind w:firstLine="0" w:left="0"/>
              <w:jc w:val="left"/>
            </w:pPr>
          </w:p>
        </w:tc>
      </w:tr>
      <w:tr>
        <w:tc>
          <w:tcPr>
            <w:tcW w:type="dxa" w:w="3013"/>
            <w:tcMar>
              <w:top w:type="dxa" w:w="0"/>
              <w:left w:type="dxa" w:w="0"/>
              <w:bottom w:type="dxa" w:w="0"/>
              <w:right w:type="dxa" w:w="0"/>
            </w:tcMar>
          </w:tcPr>
          <w:p w14:paraId="3A030000">
            <w:pPr>
              <w:widowControl w:val="0"/>
              <w:spacing w:before="0" w:line="240" w:lineRule="auto"/>
              <w:ind w:firstLine="0" w:left="0"/>
              <w:jc w:val="left"/>
            </w:pPr>
          </w:p>
        </w:tc>
        <w:tc>
          <w:tcPr>
            <w:tcW w:type="dxa" w:w="1953"/>
            <w:tcBorders>
              <w:top w:color="000000" w:sz="4" w:val="single"/>
            </w:tcBorders>
            <w:tcMar>
              <w:top w:type="dxa" w:w="0"/>
              <w:left w:type="dxa" w:w="0"/>
              <w:bottom w:type="dxa" w:w="0"/>
              <w:right w:type="dxa" w:w="0"/>
            </w:tcMar>
          </w:tcPr>
          <w:p w14:paraId="3B030000">
            <w:pPr>
              <w:widowControl w:val="0"/>
              <w:spacing w:before="0" w:line="240" w:lineRule="auto"/>
              <w:ind w:firstLine="0" w:left="0"/>
              <w:jc w:val="center"/>
            </w:pPr>
            <w:r>
              <w:t>(подпись)</w:t>
            </w:r>
          </w:p>
        </w:tc>
        <w:tc>
          <w:tcPr>
            <w:tcW w:type="dxa" w:w="335"/>
            <w:tcMar>
              <w:top w:type="dxa" w:w="0"/>
              <w:left w:type="dxa" w:w="0"/>
              <w:bottom w:type="dxa" w:w="0"/>
              <w:right w:type="dxa" w:w="0"/>
            </w:tcMar>
          </w:tcPr>
          <w:p w14:paraId="3C030000">
            <w:pPr>
              <w:widowControl w:val="0"/>
              <w:spacing w:before="0" w:line="240" w:lineRule="auto"/>
              <w:ind w:firstLine="0" w:left="0"/>
              <w:jc w:val="left"/>
            </w:pPr>
          </w:p>
        </w:tc>
        <w:tc>
          <w:tcPr>
            <w:tcW w:type="dxa" w:w="3628"/>
            <w:tcBorders>
              <w:top w:color="000000" w:sz="4" w:val="single"/>
            </w:tcBorders>
            <w:tcMar>
              <w:top w:type="dxa" w:w="0"/>
              <w:left w:type="dxa" w:w="0"/>
              <w:bottom w:type="dxa" w:w="0"/>
              <w:right w:type="dxa" w:w="0"/>
            </w:tcMar>
          </w:tcPr>
          <w:p w14:paraId="3D030000">
            <w:pPr>
              <w:widowControl w:val="0"/>
              <w:spacing w:before="0" w:line="240" w:lineRule="auto"/>
              <w:ind w:firstLine="0" w:left="0"/>
              <w:jc w:val="center"/>
            </w:pPr>
            <w:r>
              <w:t>(фамилия, имя, отчество (при наличии)</w:t>
            </w:r>
          </w:p>
        </w:tc>
      </w:tr>
      <w:tr>
        <w:tc>
          <w:tcPr>
            <w:tcW w:type="dxa" w:w="3013"/>
            <w:tcMar>
              <w:top w:type="dxa" w:w="0"/>
              <w:left w:type="dxa" w:w="0"/>
              <w:bottom w:type="dxa" w:w="0"/>
              <w:right w:type="dxa" w:w="0"/>
            </w:tcMar>
          </w:tcPr>
          <w:p w14:paraId="3E030000">
            <w:pPr>
              <w:widowControl w:val="0"/>
              <w:spacing w:before="0" w:line="240" w:lineRule="auto"/>
              <w:ind w:firstLine="0" w:left="0"/>
              <w:jc w:val="left"/>
            </w:pPr>
          </w:p>
        </w:tc>
        <w:tc>
          <w:tcPr>
            <w:tcW w:type="dxa" w:w="1953"/>
            <w:tcMar>
              <w:top w:type="dxa" w:w="0"/>
              <w:left w:type="dxa" w:w="0"/>
              <w:bottom w:type="dxa" w:w="0"/>
              <w:right w:type="dxa" w:w="0"/>
            </w:tcMar>
          </w:tcPr>
          <w:p w14:paraId="3F030000">
            <w:pPr>
              <w:widowControl w:val="0"/>
              <w:spacing w:before="0" w:line="240" w:lineRule="auto"/>
              <w:ind w:firstLine="0" w:left="0"/>
              <w:jc w:val="left"/>
            </w:pPr>
          </w:p>
        </w:tc>
        <w:tc>
          <w:tcPr>
            <w:tcW w:type="dxa" w:w="335"/>
            <w:tcMar>
              <w:top w:type="dxa" w:w="0"/>
              <w:left w:type="dxa" w:w="0"/>
              <w:bottom w:type="dxa" w:w="0"/>
              <w:right w:type="dxa" w:w="0"/>
            </w:tcMar>
          </w:tcPr>
          <w:p w14:paraId="40030000">
            <w:pPr>
              <w:widowControl w:val="0"/>
              <w:spacing w:before="0" w:line="240" w:lineRule="auto"/>
              <w:ind w:firstLine="0" w:left="0"/>
              <w:jc w:val="left"/>
            </w:pPr>
          </w:p>
        </w:tc>
        <w:tc>
          <w:tcPr>
            <w:tcW w:type="dxa" w:w="3628"/>
            <w:tcMar>
              <w:top w:type="dxa" w:w="0"/>
              <w:left w:type="dxa" w:w="0"/>
              <w:bottom w:type="dxa" w:w="0"/>
              <w:right w:type="dxa" w:w="0"/>
            </w:tcMar>
          </w:tcPr>
          <w:p w14:paraId="41030000">
            <w:pPr>
              <w:widowControl w:val="0"/>
              <w:spacing w:before="0" w:line="240" w:lineRule="auto"/>
              <w:ind w:firstLine="0" w:left="0"/>
              <w:jc w:val="center"/>
            </w:pPr>
            <w:r>
              <w:t>"__" ___________ 20__ г.</w:t>
            </w:r>
          </w:p>
        </w:tc>
      </w:tr>
    </w:tbl>
    <w:p w14:paraId="42030000">
      <w:pPr>
        <w:widowControl w:val="0"/>
        <w:spacing w:before="0" w:line="240" w:lineRule="auto"/>
        <w:ind w:firstLine="0" w:left="0"/>
        <w:jc w:val="both"/>
      </w:pPr>
    </w:p>
    <w:p w14:paraId="43030000">
      <w:pPr>
        <w:widowControl w:val="0"/>
        <w:spacing w:before="0" w:line="240" w:lineRule="auto"/>
        <w:ind w:firstLine="540" w:left="0"/>
        <w:jc w:val="both"/>
      </w:pPr>
      <w:r>
        <w:t>--------------------------------</w:t>
      </w:r>
    </w:p>
    <w:p w14:paraId="44030000">
      <w:pPr>
        <w:widowControl w:val="0"/>
        <w:spacing w:before="0" w:line="240" w:lineRule="auto"/>
        <w:ind w:firstLine="540" w:left="0"/>
        <w:jc w:val="both"/>
      </w:pPr>
      <w:r>
        <w:t>&lt;1&gt; В настоящем документе используются понятия, установленные Федеральным законом, а</w:t>
      </w:r>
      <w:r>
        <w:rPr>
          <w:b w:val="0"/>
          <w:sz w:val="24"/>
        </w:rPr>
        <w:t xml:space="preserve"> также определения, установленные Порядком </w:t>
      </w:r>
      <w:r>
        <w:rPr>
          <w:rFonts w:ascii="Times New Roman" w:hAnsi="Times New Roman"/>
          <w:b w:val="0"/>
          <w:color w:val="000000"/>
          <w:sz w:val="24"/>
        </w:rPr>
        <w:t xml:space="preserve">возмещения затрат, указанных в части 1 статьи 15 Федерального закона от 01.04.2020 </w:t>
      </w:r>
      <w:r>
        <w:rPr>
          <w:rFonts w:ascii="Times New Roman" w:hAnsi="Times New Roman"/>
          <w:b w:val="0"/>
          <w:color w:val="000000"/>
          <w:sz w:val="24"/>
        </w:rPr>
        <w:t>№ 69-ФЗ «О защите и поощрении капиталовложений в Российской Федерации», понесенных организацией, реализующей проект, в рамках осуществления инвестиционного проекта, в отношении которого заключено соглашение о защите и поощрении капиталовложений</w:t>
      </w:r>
      <w:r>
        <w:rPr>
          <w:b w:val="0"/>
          <w:sz w:val="24"/>
        </w:rPr>
        <w:t xml:space="preserve">, утвержденными постановлением Правительства Ивановской области </w:t>
      </w:r>
      <w:r>
        <w:rPr>
          <w:b w:val="0"/>
          <w:sz w:val="24"/>
        </w:rPr>
        <w:t>от 02.08.2023 № 345-п «</w:t>
      </w:r>
      <w:r>
        <w:rPr>
          <w:b w:val="0"/>
          <w:sz w:val="24"/>
        </w:rPr>
        <w:t>Об утверждении Порядка возмещения затрат, указанных в части 1 статьи 15 Федерального закона от 01.04.2020 № 69-ФЗ «О защите и поощрении капиталовложений в Российской Федерации», понесенных организацией, реализующей проект, в рамках осуществ</w:t>
      </w:r>
      <w:r>
        <w:t>ления инвестиционного проекта, в отношении которого заключено соглашение о защите и поощрении капиталовложений»</w:t>
      </w:r>
      <w:r>
        <w:t xml:space="preserve"> (далее - Порядок).</w:t>
      </w:r>
    </w:p>
    <w:p w14:paraId="45030000">
      <w:pPr>
        <w:widowControl w:val="0"/>
        <w:spacing w:before="0" w:line="240" w:lineRule="auto"/>
        <w:ind w:firstLine="540" w:left="0"/>
        <w:jc w:val="both"/>
      </w:pPr>
      <w:r>
        <w:t>&lt;2&gt; В случае предоставления субсидии указывается бюджет бюджетной системы Российской Федерации, за счет средств которого предоставлена субсидия.</w:t>
      </w:r>
    </w:p>
    <w:p w14:paraId="46030000">
      <w:pPr>
        <w:widowControl w:val="0"/>
        <w:spacing w:before="0" w:line="240" w:lineRule="auto"/>
        <w:ind w:firstLine="540" w:left="0"/>
        <w:jc w:val="both"/>
      </w:pPr>
      <w:r>
        <w:t>&lt;3&gt; В строках 1 - 4 графы 3 указываются соответственно значения показателей C</w:t>
      </w:r>
      <w:r>
        <w:rPr>
          <w:vertAlign w:val="subscript"/>
        </w:rPr>
        <w:t>инф обесп</w:t>
      </w:r>
      <w:r>
        <w:t>, C</w:t>
      </w:r>
      <w:r>
        <w:rPr>
          <w:vertAlign w:val="subscript"/>
        </w:rPr>
        <w:t>инф соп</w:t>
      </w:r>
      <w:r>
        <w:t>, C</w:t>
      </w:r>
      <w:r>
        <w:rPr>
          <w:vertAlign w:val="subscript"/>
        </w:rPr>
        <w:t>ис</w:t>
      </w:r>
      <w:r>
        <w:t>, C</w:t>
      </w:r>
      <w:r>
        <w:rPr>
          <w:vertAlign w:val="subscript"/>
        </w:rPr>
        <w:t>дем</w:t>
      </w:r>
      <w:r>
        <w:t>, рассчитанные в соответствии с пунктами 2(1) - 2(4) формы расчета объема возмещения затрат, указанных в части 1 статьи 15 Федерального закона «О защите и поощрении капиталовложений в Российской Федерации", понесенных организацией, реализующей проект, в рамках осуществления инвестиционного проекта, в отношении которого заключено соглашение о защите и поощрении капиталовложений, предусмотренной приложением № 2 к Порядку (далее - форма).</w:t>
      </w:r>
    </w:p>
    <w:p w14:paraId="47030000">
      <w:pPr>
        <w:widowControl w:val="0"/>
        <w:spacing w:before="0" w:line="240" w:lineRule="auto"/>
        <w:ind w:firstLine="540" w:left="0"/>
        <w:jc w:val="both"/>
      </w:pPr>
      <w:r>
        <w:t>&lt;4&gt; 6 лет - в случаях, предусмотренных пунктом 1 части 7 статьи 15 Федерального закона «О защите и поощрении капиталовложений в Российской Федерации» (далее - Федеральный закон).</w:t>
      </w:r>
    </w:p>
    <w:p w14:paraId="48030000">
      <w:pPr>
        <w:widowControl w:val="0"/>
        <w:spacing w:before="0" w:line="240" w:lineRule="auto"/>
        <w:ind w:firstLine="540" w:left="0"/>
        <w:jc w:val="both"/>
      </w:pPr>
      <w:r>
        <w:t>&lt;5&gt; 11 лет - в случаях, предусмотренных пунктом 2 части 7 статьи 15 Федерального закона.</w:t>
      </w:r>
    </w:p>
    <w:p w14:paraId="49030000">
      <w:pPr>
        <w:widowControl w:val="0"/>
        <w:spacing w:before="0" w:line="240" w:lineRule="auto"/>
        <w:ind w:firstLine="540" w:left="0"/>
        <w:jc w:val="both"/>
      </w:pPr>
      <w:r>
        <w:t>&lt;6&gt; i - период (календарный год), в котором организация, реализующая проект, представила расчет объема возмещения затрат, указанных в части 1 статьи 15 Федерального закона, в связи с реализацией проекта.</w:t>
      </w:r>
    </w:p>
    <w:p w14:paraId="4A030000">
      <w:pPr>
        <w:widowControl w:val="0"/>
        <w:spacing w:before="0" w:line="240" w:lineRule="auto"/>
        <w:ind w:firstLine="540" w:left="0"/>
        <w:jc w:val="both"/>
      </w:pPr>
      <w:r>
        <w:t>&lt;7&gt; n - указывается исходя из предельного срока возмещения затрат.</w:t>
      </w:r>
    </w:p>
    <w:p w14:paraId="4B030000">
      <w:pPr>
        <w:widowControl w:val="0"/>
        <w:spacing w:before="0" w:line="240" w:lineRule="auto"/>
        <w:ind w:firstLine="540" w:left="0"/>
        <w:jc w:val="both"/>
      </w:pPr>
      <w:r>
        <w:t>&lt;8&gt; Налог на добавленную стоимость (за вычетом налога, возмещенного организации, реализующей проект), уплаченный организацией, реализующей проект, в федеральный бюджет за соответствующие периоды.</w:t>
      </w:r>
    </w:p>
    <w:p w14:paraId="4C030000">
      <w:pPr>
        <w:widowControl w:val="0"/>
        <w:spacing w:before="0" w:line="240" w:lineRule="auto"/>
        <w:ind w:firstLine="540" w:left="0"/>
        <w:jc w:val="both"/>
      </w:pPr>
      <w:r>
        <w:t>&lt;9&gt; Расчет объема фактически понесенных затрат на уплату процентов по кредиту (займу), полученному в рублях, представляется отдельно в отношении каждого объекта инфраструктуры и (или) основного объекта проекта.</w:t>
      </w:r>
    </w:p>
    <w:p w14:paraId="4D030000">
      <w:pPr>
        <w:widowControl w:val="0"/>
        <w:spacing w:before="0" w:line="240" w:lineRule="auto"/>
        <w:ind w:firstLine="540" w:left="0"/>
        <w:jc w:val="both"/>
      </w:pPr>
      <w:r>
        <w:t>&lt;10&gt; В зависимости от типа объекта указывается период в соответствии с пунктами 2(1) и 2(2) формы (для объектов инфраструктуры) или в соответствии с пунктом 2(3) формы (для основного объекта проекта).</w:t>
      </w:r>
    </w:p>
    <w:p w14:paraId="4E030000">
      <w:pPr>
        <w:widowControl w:val="0"/>
        <w:spacing w:before="0" w:line="240" w:lineRule="auto"/>
        <w:ind w:firstLine="540" w:left="0"/>
        <w:jc w:val="both"/>
      </w:pPr>
      <w:r>
        <w:t>&lt;11&gt; Без учета задолженности по кредитам (займам) и процентов по ним, уплаченным с нарушением установленного графика.</w:t>
      </w:r>
    </w:p>
    <w:p w14:paraId="4F030000">
      <w:pPr>
        <w:widowControl w:val="0"/>
        <w:spacing w:before="0" w:line="240" w:lineRule="auto"/>
        <w:ind w:firstLine="540" w:left="0"/>
        <w:jc w:val="both"/>
      </w:pPr>
      <w:r>
        <w:t>&lt;12&gt; Расчетный период - период, в котором показатели, указанные в графах 2, 4 и 5, неизменны.</w:t>
      </w:r>
    </w:p>
    <w:p w14:paraId="50030000">
      <w:pPr>
        <w:widowControl w:val="0"/>
        <w:spacing w:before="0" w:line="240" w:lineRule="auto"/>
        <w:ind w:firstLine="540" w:left="0"/>
        <w:jc w:val="both"/>
      </w:pPr>
      <w:r>
        <w:t>&lt;13&gt; Показатель F1, X1 или H1 в соответствии с пунктом 2(1), 2(2) или 2(3) формы в зависимости от типа объекта, указанного в пункте 1 расчета объема фактически понесенных затрат на уплату процентов по кредиту (займу), полученному в рублях.</w:t>
      </w:r>
    </w:p>
    <w:p w14:paraId="51030000">
      <w:pPr>
        <w:widowControl w:val="0"/>
        <w:spacing w:before="0" w:line="240" w:lineRule="auto"/>
        <w:ind w:firstLine="540" w:left="0"/>
        <w:jc w:val="both"/>
      </w:pPr>
      <w:r>
        <w:t>&lt;14&gt; Расчет объема фактически понесенных затрат на уплату процентов по кредиту и займу, полученным в иностранной валюте, представляется отдельно в отношении каждого объекта инфраструктуры и (или) основного объекта проекта.</w:t>
      </w:r>
    </w:p>
    <w:p w14:paraId="52030000">
      <w:pPr>
        <w:widowControl w:val="0"/>
        <w:spacing w:before="0" w:line="240" w:lineRule="auto"/>
        <w:ind w:firstLine="540" w:left="0"/>
        <w:jc w:val="both"/>
      </w:pPr>
      <w:r>
        <w:t>&lt;15&gt; В зависимости от типа объекта указывается период в соответствии с пунктами 2(1) и 2(2) формы (для объектов инфраструктуры) или в соответствии с пунктом 2(3) формы (для основного объекта проекта).</w:t>
      </w:r>
    </w:p>
    <w:p w14:paraId="53030000">
      <w:pPr>
        <w:widowControl w:val="0"/>
        <w:spacing w:before="0" w:line="240" w:lineRule="auto"/>
        <w:ind w:firstLine="540" w:left="0"/>
        <w:jc w:val="both"/>
      </w:pPr>
      <w:r>
        <w:t>&lt;16&gt; Без учета задолженности по кредитам (займам) и процентам по ним, уплаченным с нарушением установленного графика.</w:t>
      </w:r>
    </w:p>
    <w:p w14:paraId="54030000">
      <w:pPr>
        <w:widowControl w:val="0"/>
        <w:spacing w:before="0" w:line="240" w:lineRule="auto"/>
        <w:ind w:firstLine="540" w:left="0"/>
        <w:jc w:val="both"/>
      </w:pPr>
      <w:r>
        <w:t>&lt;17&gt; Расчетный период - период, в котором показатели, указанные в графах 2, 4, 5 и 6, неизменны.</w:t>
      </w:r>
    </w:p>
    <w:p w14:paraId="55030000">
      <w:pPr>
        <w:widowControl w:val="0"/>
        <w:spacing w:before="0" w:line="240" w:lineRule="auto"/>
        <w:ind w:firstLine="540" w:left="0"/>
        <w:jc w:val="both"/>
      </w:pPr>
      <w:r>
        <w:t>&lt;18&gt; Показатель F1, X1 или H1 в соответствии с пунктом 2(1), 2(2) или 2(3) формы в зависимости от типа объекта, указанного в пункте 1 расчета объема фактически понесенных затрат на уплату процентов по кредиту (займу), полученному в иностранной валюте.</w:t>
      </w:r>
    </w:p>
    <w:p w14:paraId="56030000">
      <w:pPr>
        <w:widowControl w:val="0"/>
        <w:spacing w:before="0" w:line="240" w:lineRule="auto"/>
        <w:ind w:firstLine="540" w:left="0"/>
        <w:jc w:val="both"/>
      </w:pPr>
      <w:r>
        <w:t>&lt;19&gt; Расчет объема фактически понесенных затрат на уплату купонного дохода по облигационным займам представляется отдельно в отношении каждого объекта инфраструктуры и (или) основного проекта.</w:t>
      </w:r>
    </w:p>
    <w:p w14:paraId="57030000">
      <w:pPr>
        <w:widowControl w:val="0"/>
        <w:spacing w:before="0" w:line="240" w:lineRule="auto"/>
        <w:ind w:firstLine="540" w:left="0"/>
        <w:jc w:val="both"/>
      </w:pPr>
      <w:r>
        <w:t>&lt;20&gt; В зависимости от типа объекта указывается период в соответствии с пунктами 2(1) и 2(2) формы (для объектов инфраструктуры) или в соответствии с пунктом 2(3) формы (для основного объекта проекта).</w:t>
      </w:r>
    </w:p>
    <w:p w14:paraId="58030000">
      <w:pPr>
        <w:widowControl w:val="0"/>
        <w:spacing w:before="0" w:line="240" w:lineRule="auto"/>
        <w:ind w:firstLine="540" w:left="0"/>
        <w:jc w:val="both"/>
      </w:pPr>
      <w:r>
        <w:t>&lt;21&gt; Рассчитывается в соответствии с постановлением Правительства Российской Федерации от 20.07.2016 № 702 «О применении базовых индикаторов при расчете параметров субсидирования процентной ставки за счет средств федерального бюджета по кредитам, облигационным займам и (или) договорам лизинга в зависимости от сроков кредитования, а также определении предельного уровня конечной ставки кредитования, при превышении которого субсидирование процентной ставки не осуществляется».</w:t>
      </w:r>
    </w:p>
    <w:sectPr>
      <w:headerReference r:id="rId1" w:type="default"/>
      <w:pgSz w:h="16838" w:orient="portrait" w:w="11906"/>
      <w:pgMar w:bottom="1134" w:footer="720" w:gutter="0" w:header="720" w:left="1701" w:right="1276" w:top="1134"/>
      <w:pgNumType w:start="1"/>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center" w:y="1"/>
    </w:pPr>
    <w:r>
      <w:fldChar w:fldCharType="begin"/>
    </w:r>
    <w:r>
      <w:instrText>PAGE \* Arabic</w:instrText>
    </w:r>
    <w:r>
      <w:fldChar w:fldCharType="separate"/>
    </w:r>
    <w:r>
      <w:fldChar w:fldCharType="end"/>
    </w:r>
  </w:p>
  <w:p w14:paraId="01000000">
    <w:pPr>
      <w:pStyle w:val="Style_1"/>
      <w:ind/>
      <w:jc w:val="center"/>
    </w:pPr>
  </w:p>
  <w:p w14:paraId="02000000">
    <w:pPr>
      <w:pStyle w:val="Style_1"/>
    </w:pPr>
  </w:p>
</w:hdr>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6" w:type="paragraph">
    <w:name w:val="Normal"/>
    <w:link w:val="Style_6_ch"/>
    <w:uiPriority w:val="0"/>
    <w:qFormat/>
    <w:rPr>
      <w:sz w:val="24"/>
    </w:rPr>
  </w:style>
  <w:style w:default="1" w:styleId="Style_6_ch" w:type="character">
    <w:name w:val="Normal"/>
    <w:link w:val="Style_6"/>
    <w:rPr>
      <w:sz w:val="24"/>
    </w:rPr>
  </w:style>
  <w:style w:styleId="Style_7" w:type="paragraph">
    <w:name w:val="toc 2"/>
    <w:next w:val="Style_6"/>
    <w:link w:val="Style_7_ch"/>
    <w:uiPriority w:val="39"/>
    <w:pPr>
      <w:ind w:firstLine="0" w:left="200"/>
    </w:pPr>
    <w:rPr>
      <w:rFonts w:ascii="XO Thames" w:hAnsi="XO Thames"/>
      <w:sz w:val="28"/>
    </w:rPr>
  </w:style>
  <w:style w:styleId="Style_7_ch" w:type="character">
    <w:name w:val="toc 2"/>
    <w:link w:val="Style_7"/>
    <w:rPr>
      <w:rFonts w:ascii="XO Thames" w:hAnsi="XO Thames"/>
      <w:sz w:val="28"/>
    </w:rPr>
  </w:style>
  <w:style w:styleId="Style_8" w:type="paragraph">
    <w:name w:val="toc 4"/>
    <w:next w:val="Style_6"/>
    <w:link w:val="Style_8_ch"/>
    <w:uiPriority w:val="39"/>
    <w:pPr>
      <w:ind w:firstLine="0" w:left="600"/>
    </w:pPr>
    <w:rPr>
      <w:rFonts w:ascii="XO Thames" w:hAnsi="XO Thames"/>
      <w:sz w:val="28"/>
    </w:rPr>
  </w:style>
  <w:style w:styleId="Style_8_ch" w:type="character">
    <w:name w:val="toc 4"/>
    <w:link w:val="Style_8"/>
    <w:rPr>
      <w:rFonts w:ascii="XO Thames" w:hAnsi="XO Thames"/>
      <w:sz w:val="28"/>
    </w:rPr>
  </w:style>
  <w:style w:styleId="Style_9" w:type="paragraph">
    <w:name w:val="Гиперссылка2"/>
    <w:link w:val="Style_9_ch"/>
    <w:rPr>
      <w:color w:val="0000FF"/>
      <w:u w:val="single"/>
    </w:rPr>
  </w:style>
  <w:style w:styleId="Style_9_ch" w:type="character">
    <w:name w:val="Гиперссылка2"/>
    <w:link w:val="Style_9"/>
    <w:rPr>
      <w:color w:val="0000FF"/>
      <w:u w:val="single"/>
    </w:rPr>
  </w:style>
  <w:style w:styleId="Style_10" w:type="paragraph">
    <w:name w:val="Balloon Text"/>
    <w:basedOn w:val="Style_6"/>
    <w:link w:val="Style_10_ch"/>
    <w:rPr>
      <w:rFonts w:ascii="Tahoma" w:hAnsi="Tahoma"/>
      <w:sz w:val="16"/>
    </w:rPr>
  </w:style>
  <w:style w:styleId="Style_10_ch" w:type="character">
    <w:name w:val="Balloon Text"/>
    <w:basedOn w:val="Style_6_ch"/>
    <w:link w:val="Style_10"/>
    <w:rPr>
      <w:rFonts w:ascii="Tahoma" w:hAnsi="Tahoma"/>
      <w:sz w:val="16"/>
    </w:rPr>
  </w:style>
  <w:style w:styleId="Style_11" w:type="paragraph">
    <w:name w:val="annotation text"/>
    <w:basedOn w:val="Style_6"/>
    <w:link w:val="Style_11_ch"/>
    <w:rPr>
      <w:sz w:val="20"/>
    </w:rPr>
  </w:style>
  <w:style w:styleId="Style_11_ch" w:type="character">
    <w:name w:val="annotation text"/>
    <w:basedOn w:val="Style_6_ch"/>
    <w:link w:val="Style_11"/>
    <w:rPr>
      <w:sz w:val="20"/>
    </w:rPr>
  </w:style>
  <w:style w:styleId="Style_1" w:type="paragraph">
    <w:name w:val="header"/>
    <w:basedOn w:val="Style_6"/>
    <w:link w:val="Style_1_ch"/>
    <w:pPr>
      <w:tabs>
        <w:tab w:leader="none" w:pos="4677" w:val="center"/>
        <w:tab w:leader="none" w:pos="9355" w:val="right"/>
      </w:tabs>
      <w:ind/>
    </w:pPr>
  </w:style>
  <w:style w:styleId="Style_1_ch" w:type="character">
    <w:name w:val="header"/>
    <w:basedOn w:val="Style_6_ch"/>
    <w:link w:val="Style_1"/>
  </w:style>
  <w:style w:styleId="Style_12" w:type="paragraph">
    <w:name w:val="toc 6"/>
    <w:next w:val="Style_6"/>
    <w:link w:val="Style_12_ch"/>
    <w:uiPriority w:val="39"/>
    <w:pPr>
      <w:ind w:firstLine="0" w:left="1000"/>
    </w:pPr>
    <w:rPr>
      <w:rFonts w:ascii="XO Thames" w:hAnsi="XO Thames"/>
      <w:sz w:val="28"/>
    </w:rPr>
  </w:style>
  <w:style w:styleId="Style_12_ch" w:type="character">
    <w:name w:val="toc 6"/>
    <w:link w:val="Style_12"/>
    <w:rPr>
      <w:rFonts w:ascii="XO Thames" w:hAnsi="XO Thames"/>
      <w:sz w:val="28"/>
    </w:rPr>
  </w:style>
  <w:style w:styleId="Style_13" w:type="paragraph">
    <w:name w:val="toc 7"/>
    <w:next w:val="Style_6"/>
    <w:link w:val="Style_13_ch"/>
    <w:uiPriority w:val="39"/>
    <w:pPr>
      <w:ind w:firstLine="0" w:left="1200"/>
    </w:pPr>
    <w:rPr>
      <w:rFonts w:ascii="XO Thames" w:hAnsi="XO Thames"/>
      <w:sz w:val="28"/>
    </w:rPr>
  </w:style>
  <w:style w:styleId="Style_13_ch" w:type="character">
    <w:name w:val="toc 7"/>
    <w:link w:val="Style_13"/>
    <w:rPr>
      <w:rFonts w:ascii="XO Thames" w:hAnsi="XO Thames"/>
      <w:sz w:val="28"/>
    </w:rPr>
  </w:style>
  <w:style w:styleId="Style_14" w:type="paragraph">
    <w:name w:val="Обычный1"/>
    <w:link w:val="Style_14_ch"/>
    <w:rPr>
      <w:sz w:val="24"/>
    </w:rPr>
  </w:style>
  <w:style w:styleId="Style_14_ch" w:type="character">
    <w:name w:val="Обычный1"/>
    <w:link w:val="Style_14"/>
    <w:rPr>
      <w:sz w:val="24"/>
    </w:rPr>
  </w:style>
  <w:style w:styleId="Style_15" w:type="paragraph">
    <w:name w:val="heading 3"/>
    <w:next w:val="Style_6"/>
    <w:link w:val="Style_15_ch"/>
    <w:uiPriority w:val="9"/>
    <w:qFormat/>
    <w:pPr>
      <w:spacing w:after="120" w:before="120"/>
      <w:ind/>
      <w:jc w:val="both"/>
      <w:outlineLvl w:val="2"/>
    </w:pPr>
    <w:rPr>
      <w:rFonts w:ascii="XO Thames" w:hAnsi="XO Thames"/>
      <w:b w:val="1"/>
      <w:sz w:val="26"/>
    </w:rPr>
  </w:style>
  <w:style w:styleId="Style_15_ch" w:type="character">
    <w:name w:val="heading 3"/>
    <w:link w:val="Style_15"/>
    <w:rPr>
      <w:rFonts w:ascii="XO Thames" w:hAnsi="XO Thames"/>
      <w:b w:val="1"/>
      <w:sz w:val="26"/>
    </w:rPr>
  </w:style>
  <w:style w:styleId="Style_16" w:type="paragraph">
    <w:name w:val="Основной шрифт абзаца1"/>
    <w:link w:val="Style_16_ch"/>
  </w:style>
  <w:style w:styleId="Style_16_ch" w:type="character">
    <w:name w:val="Основной шрифт абзаца1"/>
    <w:link w:val="Style_16"/>
  </w:style>
  <w:style w:styleId="Style_17" w:type="paragraph">
    <w:name w:val="Заголовок 5 Знак"/>
    <w:link w:val="Style_17_ch"/>
    <w:rPr>
      <w:rFonts w:ascii="XO Thames" w:hAnsi="XO Thames"/>
      <w:b w:val="1"/>
      <w:sz w:val="22"/>
    </w:rPr>
  </w:style>
  <w:style w:styleId="Style_17_ch" w:type="character">
    <w:name w:val="Заголовок 5 Знак"/>
    <w:link w:val="Style_17"/>
    <w:rPr>
      <w:rFonts w:ascii="XO Thames" w:hAnsi="XO Thames"/>
      <w:b w:val="1"/>
      <w:sz w:val="22"/>
    </w:rPr>
  </w:style>
  <w:style w:styleId="Style_18" w:type="paragraph">
    <w:name w:val="Знак примечания1"/>
    <w:basedOn w:val="Style_19"/>
    <w:link w:val="Style_18_ch"/>
    <w:rPr>
      <w:sz w:val="16"/>
    </w:rPr>
  </w:style>
  <w:style w:styleId="Style_18_ch" w:type="character">
    <w:name w:val="Знак примечания1"/>
    <w:basedOn w:val="Style_19_ch"/>
    <w:link w:val="Style_18"/>
    <w:rPr>
      <w:sz w:val="16"/>
    </w:rPr>
  </w:style>
  <w:style w:styleId="Style_20" w:type="paragraph">
    <w:name w:val="toc 3"/>
    <w:next w:val="Style_6"/>
    <w:link w:val="Style_20_ch"/>
    <w:uiPriority w:val="39"/>
    <w:pPr>
      <w:ind w:firstLine="0" w:left="400"/>
    </w:pPr>
    <w:rPr>
      <w:rFonts w:ascii="XO Thames" w:hAnsi="XO Thames"/>
      <w:sz w:val="28"/>
    </w:rPr>
  </w:style>
  <w:style w:styleId="Style_20_ch" w:type="character">
    <w:name w:val="toc 3"/>
    <w:link w:val="Style_20"/>
    <w:rPr>
      <w:rFonts w:ascii="XO Thames" w:hAnsi="XO Thames"/>
      <w:sz w:val="28"/>
    </w:rPr>
  </w:style>
  <w:style w:styleId="Style_21" w:type="paragraph">
    <w:name w:val="Обычный1"/>
    <w:link w:val="Style_21_ch"/>
    <w:rPr>
      <w:sz w:val="24"/>
    </w:rPr>
  </w:style>
  <w:style w:styleId="Style_21_ch" w:type="character">
    <w:name w:val="Обычный1"/>
    <w:link w:val="Style_21"/>
    <w:rPr>
      <w:sz w:val="24"/>
    </w:rPr>
  </w:style>
  <w:style w:styleId="Style_22" w:type="paragraph">
    <w:name w:val="Основной шрифт абзаца2"/>
    <w:link w:val="Style_22_ch"/>
  </w:style>
  <w:style w:styleId="Style_22_ch" w:type="character">
    <w:name w:val="Основной шрифт абзаца2"/>
    <w:link w:val="Style_22"/>
  </w:style>
  <w:style w:styleId="Style_2" w:type="paragraph">
    <w:name w:val="Body Text"/>
    <w:basedOn w:val="Style_6"/>
    <w:link w:val="Style_2_ch"/>
    <w:rPr>
      <w:sz w:val="44"/>
    </w:rPr>
  </w:style>
  <w:style w:styleId="Style_2_ch" w:type="character">
    <w:name w:val="Body Text"/>
    <w:basedOn w:val="Style_6_ch"/>
    <w:link w:val="Style_2"/>
    <w:rPr>
      <w:sz w:val="44"/>
    </w:rPr>
  </w:style>
  <w:style w:styleId="Style_23" w:type="paragraph">
    <w:name w:val="Обычный1"/>
    <w:link w:val="Style_23_ch"/>
    <w:rPr>
      <w:sz w:val="24"/>
    </w:rPr>
  </w:style>
  <w:style w:styleId="Style_23_ch" w:type="character">
    <w:name w:val="Обычный1"/>
    <w:link w:val="Style_23"/>
    <w:rPr>
      <w:sz w:val="24"/>
    </w:rPr>
  </w:style>
  <w:style w:styleId="Style_24" w:type="paragraph">
    <w:name w:val="Гиперссылка2"/>
    <w:link w:val="Style_24_ch"/>
    <w:rPr>
      <w:color w:val="0000FF"/>
      <w:u w:val="single"/>
    </w:rPr>
  </w:style>
  <w:style w:styleId="Style_24_ch" w:type="character">
    <w:name w:val="Гиперссылка2"/>
    <w:link w:val="Style_24"/>
    <w:rPr>
      <w:color w:val="0000FF"/>
      <w:u w:val="single"/>
    </w:rPr>
  </w:style>
  <w:style w:styleId="Style_25" w:type="paragraph">
    <w:name w:val="heading 5"/>
    <w:next w:val="Style_6"/>
    <w:link w:val="Style_25_ch"/>
    <w:uiPriority w:val="9"/>
    <w:qFormat/>
    <w:pPr>
      <w:spacing w:after="120" w:before="120"/>
      <w:ind/>
      <w:jc w:val="both"/>
      <w:outlineLvl w:val="4"/>
    </w:pPr>
    <w:rPr>
      <w:rFonts w:ascii="XO Thames" w:hAnsi="XO Thames"/>
      <w:b w:val="1"/>
      <w:sz w:val="22"/>
    </w:rPr>
  </w:style>
  <w:style w:styleId="Style_25_ch" w:type="character">
    <w:name w:val="heading 5"/>
    <w:link w:val="Style_25"/>
    <w:rPr>
      <w:rFonts w:ascii="XO Thames" w:hAnsi="XO Thames"/>
      <w:b w:val="1"/>
      <w:sz w:val="22"/>
    </w:rPr>
  </w:style>
  <w:style w:styleId="Style_26" w:type="paragraph">
    <w:name w:val="Обычный1"/>
    <w:link w:val="Style_26_ch"/>
    <w:rPr>
      <w:sz w:val="24"/>
    </w:rPr>
  </w:style>
  <w:style w:styleId="Style_26_ch" w:type="character">
    <w:name w:val="Обычный1"/>
    <w:link w:val="Style_26"/>
    <w:rPr>
      <w:sz w:val="24"/>
    </w:rPr>
  </w:style>
  <w:style w:styleId="Style_27" w:type="paragraph">
    <w:name w:val="Основной шрифт абзаца1"/>
    <w:link w:val="Style_27_ch"/>
  </w:style>
  <w:style w:styleId="Style_27_ch" w:type="character">
    <w:name w:val="Основной шрифт абзаца1"/>
    <w:link w:val="Style_27"/>
  </w:style>
  <w:style w:styleId="Style_28" w:type="paragraph">
    <w:name w:val="heading 1"/>
    <w:next w:val="Style_6"/>
    <w:link w:val="Style_28_ch"/>
    <w:uiPriority w:val="9"/>
    <w:qFormat/>
    <w:pPr>
      <w:spacing w:after="120" w:before="120"/>
      <w:ind/>
      <w:jc w:val="both"/>
      <w:outlineLvl w:val="0"/>
    </w:pPr>
    <w:rPr>
      <w:rFonts w:ascii="XO Thames" w:hAnsi="XO Thames"/>
      <w:b w:val="1"/>
      <w:sz w:val="32"/>
    </w:rPr>
  </w:style>
  <w:style w:styleId="Style_28_ch" w:type="character">
    <w:name w:val="heading 1"/>
    <w:link w:val="Style_28"/>
    <w:rPr>
      <w:rFonts w:ascii="XO Thames" w:hAnsi="XO Thames"/>
      <w:b w:val="1"/>
      <w:sz w:val="32"/>
    </w:rPr>
  </w:style>
  <w:style w:styleId="Style_29" w:type="paragraph">
    <w:name w:val="Hyperlink"/>
    <w:link w:val="Style_29_ch"/>
    <w:rPr>
      <w:color w:val="0000FF"/>
      <w:u w:val="single"/>
    </w:rPr>
  </w:style>
  <w:style w:styleId="Style_29_ch" w:type="character">
    <w:name w:val="Hyperlink"/>
    <w:link w:val="Style_29"/>
    <w:rPr>
      <w:color w:val="0000FF"/>
      <w:u w:val="single"/>
    </w:rPr>
  </w:style>
  <w:style w:styleId="Style_30" w:type="paragraph">
    <w:name w:val="Footnote"/>
    <w:link w:val="Style_30_ch"/>
    <w:pPr>
      <w:ind w:firstLine="851" w:left="0"/>
      <w:jc w:val="both"/>
    </w:pPr>
    <w:rPr>
      <w:rFonts w:ascii="XO Thames" w:hAnsi="XO Thames"/>
      <w:sz w:val="22"/>
    </w:rPr>
  </w:style>
  <w:style w:styleId="Style_30_ch" w:type="character">
    <w:name w:val="Footnote"/>
    <w:link w:val="Style_30"/>
    <w:rPr>
      <w:rFonts w:ascii="XO Thames" w:hAnsi="XO Thames"/>
      <w:sz w:val="22"/>
    </w:rPr>
  </w:style>
  <w:style w:styleId="Style_31" w:type="paragraph">
    <w:name w:val="toc 1"/>
    <w:next w:val="Style_6"/>
    <w:link w:val="Style_31_ch"/>
    <w:uiPriority w:val="39"/>
    <w:rPr>
      <w:rFonts w:ascii="XO Thames" w:hAnsi="XO Thames"/>
      <w:b w:val="1"/>
      <w:sz w:val="28"/>
    </w:rPr>
  </w:style>
  <w:style w:styleId="Style_31_ch" w:type="character">
    <w:name w:val="toc 1"/>
    <w:link w:val="Style_31"/>
    <w:rPr>
      <w:rFonts w:ascii="XO Thames" w:hAnsi="XO Thames"/>
      <w:b w:val="1"/>
      <w:sz w:val="28"/>
    </w:rPr>
  </w:style>
  <w:style w:styleId="Style_32" w:type="paragraph">
    <w:name w:val="Header and Footer"/>
    <w:link w:val="Style_32_ch"/>
    <w:pPr>
      <w:ind/>
      <w:jc w:val="both"/>
    </w:pPr>
    <w:rPr>
      <w:rFonts w:ascii="XO Thames" w:hAnsi="XO Thames"/>
    </w:rPr>
  </w:style>
  <w:style w:styleId="Style_32_ch" w:type="character">
    <w:name w:val="Header and Footer"/>
    <w:link w:val="Style_32"/>
    <w:rPr>
      <w:rFonts w:ascii="XO Thames" w:hAnsi="XO Thames"/>
    </w:rPr>
  </w:style>
  <w:style w:styleId="Style_19" w:type="paragraph">
    <w:name w:val="Основной шрифт абзаца3"/>
    <w:link w:val="Style_19_ch"/>
  </w:style>
  <w:style w:styleId="Style_19_ch" w:type="character">
    <w:name w:val="Основной шрифт абзаца3"/>
    <w:link w:val="Style_19"/>
  </w:style>
  <w:style w:styleId="Style_33" w:type="paragraph">
    <w:name w:val="annotation subject"/>
    <w:basedOn w:val="Style_11"/>
    <w:next w:val="Style_11"/>
    <w:link w:val="Style_33_ch"/>
    <w:rPr>
      <w:b w:val="1"/>
    </w:rPr>
  </w:style>
  <w:style w:styleId="Style_33_ch" w:type="character">
    <w:name w:val="annotation subject"/>
    <w:basedOn w:val="Style_11_ch"/>
    <w:link w:val="Style_33"/>
    <w:rPr>
      <w:b w:val="1"/>
    </w:rPr>
  </w:style>
  <w:style w:styleId="Style_34" w:type="paragraph">
    <w:name w:val="toc 9"/>
    <w:next w:val="Style_6"/>
    <w:link w:val="Style_34_ch"/>
    <w:uiPriority w:val="39"/>
    <w:pPr>
      <w:ind w:firstLine="0" w:left="1600"/>
    </w:pPr>
    <w:rPr>
      <w:rFonts w:ascii="XO Thames" w:hAnsi="XO Thames"/>
      <w:sz w:val="28"/>
    </w:rPr>
  </w:style>
  <w:style w:styleId="Style_34_ch" w:type="character">
    <w:name w:val="toc 9"/>
    <w:link w:val="Style_34"/>
    <w:rPr>
      <w:rFonts w:ascii="XO Thames" w:hAnsi="XO Thames"/>
      <w:sz w:val="28"/>
    </w:rPr>
  </w:style>
  <w:style w:styleId="Style_35" w:type="paragraph">
    <w:name w:val="Гиперссылка1"/>
    <w:link w:val="Style_35_ch"/>
    <w:rPr>
      <w:color w:val="0000FF"/>
      <w:u w:val="single"/>
    </w:rPr>
  </w:style>
  <w:style w:styleId="Style_35_ch" w:type="character">
    <w:name w:val="Гиперссылка1"/>
    <w:link w:val="Style_35"/>
    <w:rPr>
      <w:color w:val="0000FF"/>
      <w:u w:val="single"/>
    </w:rPr>
  </w:style>
  <w:style w:styleId="Style_36" w:type="paragraph">
    <w:name w:val="Гиперссылка2"/>
    <w:link w:val="Style_36_ch"/>
    <w:rPr>
      <w:color w:val="0000FF"/>
      <w:u w:val="single"/>
    </w:rPr>
  </w:style>
  <w:style w:styleId="Style_36_ch" w:type="character">
    <w:name w:val="Гиперссылка2"/>
    <w:link w:val="Style_36"/>
    <w:rPr>
      <w:color w:val="0000FF"/>
      <w:u w:val="single"/>
    </w:rPr>
  </w:style>
  <w:style w:styleId="Style_37" w:type="paragraph">
    <w:name w:val="toc 8"/>
    <w:next w:val="Style_6"/>
    <w:link w:val="Style_37_ch"/>
    <w:uiPriority w:val="39"/>
    <w:pPr>
      <w:ind w:firstLine="0" w:left="1400"/>
    </w:pPr>
    <w:rPr>
      <w:rFonts w:ascii="XO Thames" w:hAnsi="XO Thames"/>
      <w:sz w:val="28"/>
    </w:rPr>
  </w:style>
  <w:style w:styleId="Style_37_ch" w:type="character">
    <w:name w:val="toc 8"/>
    <w:link w:val="Style_37"/>
    <w:rPr>
      <w:rFonts w:ascii="XO Thames" w:hAnsi="XO Thames"/>
      <w:sz w:val="28"/>
    </w:rPr>
  </w:style>
  <w:style w:styleId="Style_38" w:type="paragraph">
    <w:name w:val="Обычный1"/>
    <w:link w:val="Style_38_ch"/>
    <w:rPr>
      <w:sz w:val="24"/>
    </w:rPr>
  </w:style>
  <w:style w:styleId="Style_38_ch" w:type="character">
    <w:name w:val="Обычный1"/>
    <w:link w:val="Style_38"/>
    <w:rPr>
      <w:sz w:val="24"/>
    </w:rPr>
  </w:style>
  <w:style w:styleId="Style_39" w:type="paragraph">
    <w:name w:val="Обычный1"/>
    <w:link w:val="Style_39_ch"/>
    <w:rPr>
      <w:sz w:val="24"/>
    </w:rPr>
  </w:style>
  <w:style w:styleId="Style_39_ch" w:type="character">
    <w:name w:val="Обычный1"/>
    <w:link w:val="Style_39"/>
    <w:rPr>
      <w:sz w:val="24"/>
    </w:rPr>
  </w:style>
  <w:style w:styleId="Style_40" w:type="paragraph">
    <w:name w:val="toc 5"/>
    <w:next w:val="Style_6"/>
    <w:link w:val="Style_40_ch"/>
    <w:uiPriority w:val="39"/>
    <w:pPr>
      <w:ind w:firstLine="0" w:left="800"/>
    </w:pPr>
    <w:rPr>
      <w:rFonts w:ascii="XO Thames" w:hAnsi="XO Thames"/>
      <w:sz w:val="28"/>
    </w:rPr>
  </w:style>
  <w:style w:styleId="Style_40_ch" w:type="character">
    <w:name w:val="toc 5"/>
    <w:link w:val="Style_40"/>
    <w:rPr>
      <w:rFonts w:ascii="XO Thames" w:hAnsi="XO Thames"/>
      <w:sz w:val="28"/>
    </w:rPr>
  </w:style>
  <w:style w:styleId="Style_41" w:type="paragraph">
    <w:name w:val="Основной шрифт абзаца3"/>
    <w:link w:val="Style_41_ch"/>
  </w:style>
  <w:style w:styleId="Style_41_ch" w:type="character">
    <w:name w:val="Основной шрифт абзаца3"/>
    <w:link w:val="Style_41"/>
  </w:style>
  <w:style w:styleId="Style_42" w:type="paragraph">
    <w:name w:val="Subtitle"/>
    <w:next w:val="Style_6"/>
    <w:link w:val="Style_42_ch"/>
    <w:uiPriority w:val="11"/>
    <w:qFormat/>
    <w:pPr>
      <w:ind/>
      <w:jc w:val="both"/>
    </w:pPr>
    <w:rPr>
      <w:rFonts w:ascii="XO Thames" w:hAnsi="XO Thames"/>
      <w:i w:val="1"/>
      <w:sz w:val="24"/>
    </w:rPr>
  </w:style>
  <w:style w:styleId="Style_42_ch" w:type="character">
    <w:name w:val="Subtitle"/>
    <w:link w:val="Style_42"/>
    <w:rPr>
      <w:rFonts w:ascii="XO Thames" w:hAnsi="XO Thames"/>
      <w:i w:val="1"/>
      <w:sz w:val="24"/>
    </w:rPr>
  </w:style>
  <w:style w:styleId="Style_43" w:type="paragraph">
    <w:name w:val="Default Paragraph Font"/>
    <w:link w:val="Style_43_ch"/>
  </w:style>
  <w:style w:styleId="Style_43_ch" w:type="character">
    <w:name w:val="Default Paragraph Font"/>
    <w:link w:val="Style_43"/>
  </w:style>
  <w:style w:styleId="Style_5" w:type="paragraph">
    <w:name w:val="Body Text Indent"/>
    <w:basedOn w:val="Style_6"/>
    <w:link w:val="Style_5_ch"/>
    <w:pPr>
      <w:ind w:firstLine="720" w:left="0"/>
      <w:jc w:val="both"/>
    </w:pPr>
    <w:rPr>
      <w:sz w:val="28"/>
    </w:rPr>
  </w:style>
  <w:style w:styleId="Style_5_ch" w:type="character">
    <w:name w:val="Body Text Indent"/>
    <w:basedOn w:val="Style_6_ch"/>
    <w:link w:val="Style_5"/>
    <w:rPr>
      <w:sz w:val="28"/>
    </w:rPr>
  </w:style>
  <w:style w:styleId="Style_44" w:type="paragraph">
    <w:name w:val="Title"/>
    <w:next w:val="Style_6"/>
    <w:link w:val="Style_44_ch"/>
    <w:uiPriority w:val="10"/>
    <w:qFormat/>
    <w:pPr>
      <w:spacing w:after="567" w:before="567"/>
      <w:ind/>
      <w:jc w:val="center"/>
    </w:pPr>
    <w:rPr>
      <w:rFonts w:ascii="XO Thames" w:hAnsi="XO Thames"/>
      <w:b w:val="1"/>
      <w:caps w:val="1"/>
      <w:sz w:val="40"/>
    </w:rPr>
  </w:style>
  <w:style w:styleId="Style_44_ch" w:type="character">
    <w:name w:val="Title"/>
    <w:link w:val="Style_44"/>
    <w:rPr>
      <w:rFonts w:ascii="XO Thames" w:hAnsi="XO Thames"/>
      <w:b w:val="1"/>
      <w:caps w:val="1"/>
      <w:sz w:val="40"/>
    </w:rPr>
  </w:style>
  <w:style w:styleId="Style_45" w:type="paragraph">
    <w:name w:val="heading 4"/>
    <w:next w:val="Style_6"/>
    <w:link w:val="Style_45_ch"/>
    <w:uiPriority w:val="9"/>
    <w:qFormat/>
    <w:pPr>
      <w:spacing w:after="120" w:before="120"/>
      <w:ind/>
      <w:jc w:val="both"/>
      <w:outlineLvl w:val="3"/>
    </w:pPr>
    <w:rPr>
      <w:rFonts w:ascii="XO Thames" w:hAnsi="XO Thames"/>
      <w:b w:val="1"/>
      <w:sz w:val="24"/>
    </w:rPr>
  </w:style>
  <w:style w:styleId="Style_45_ch" w:type="character">
    <w:name w:val="heading 4"/>
    <w:link w:val="Style_45"/>
    <w:rPr>
      <w:rFonts w:ascii="XO Thames" w:hAnsi="XO Thames"/>
      <w:b w:val="1"/>
      <w:sz w:val="24"/>
    </w:rPr>
  </w:style>
  <w:style w:styleId="Style_46" w:type="paragraph">
    <w:name w:val="List Paragraph"/>
    <w:basedOn w:val="Style_6"/>
    <w:link w:val="Style_46_ch"/>
    <w:pPr>
      <w:ind w:firstLine="0" w:left="720"/>
      <w:contextualSpacing w:val="1"/>
    </w:pPr>
  </w:style>
  <w:style w:styleId="Style_46_ch" w:type="character">
    <w:name w:val="List Paragraph"/>
    <w:basedOn w:val="Style_6_ch"/>
    <w:link w:val="Style_46"/>
  </w:style>
  <w:style w:styleId="Style_4" w:type="paragraph">
    <w:name w:val="Основной текст1"/>
    <w:basedOn w:val="Style_6"/>
    <w:link w:val="Style_4_ch"/>
    <w:pPr>
      <w:widowControl w:val="0"/>
      <w:ind w:firstLine="400" w:left="0"/>
    </w:pPr>
    <w:rPr>
      <w:sz w:val="28"/>
    </w:rPr>
  </w:style>
  <w:style w:styleId="Style_4_ch" w:type="character">
    <w:name w:val="Основной текст1"/>
    <w:basedOn w:val="Style_6_ch"/>
    <w:link w:val="Style_4"/>
    <w:rPr>
      <w:sz w:val="28"/>
    </w:rPr>
  </w:style>
  <w:style w:styleId="Style_47" w:type="paragraph">
    <w:name w:val="Основной шрифт абзаца2"/>
    <w:link w:val="Style_47_ch"/>
  </w:style>
  <w:style w:styleId="Style_47_ch" w:type="character">
    <w:name w:val="Основной шрифт абзаца2"/>
    <w:link w:val="Style_47"/>
  </w:style>
  <w:style w:styleId="Style_48" w:type="paragraph">
    <w:name w:val="Гиперссылка1"/>
    <w:link w:val="Style_48_ch"/>
    <w:rPr>
      <w:color w:val="0000FF"/>
      <w:u w:val="single"/>
    </w:rPr>
  </w:style>
  <w:style w:styleId="Style_48_ch" w:type="character">
    <w:name w:val="Гиперссылка1"/>
    <w:link w:val="Style_48"/>
    <w:rPr>
      <w:color w:val="0000FF"/>
      <w:u w:val="single"/>
    </w:rPr>
  </w:style>
  <w:style w:styleId="Style_49" w:type="paragraph">
    <w:name w:val="heading 2"/>
    <w:next w:val="Style_6"/>
    <w:link w:val="Style_49_ch"/>
    <w:uiPriority w:val="9"/>
    <w:qFormat/>
    <w:pPr>
      <w:spacing w:after="120" w:before="120"/>
      <w:ind/>
      <w:jc w:val="both"/>
      <w:outlineLvl w:val="1"/>
    </w:pPr>
    <w:rPr>
      <w:rFonts w:ascii="XO Thames" w:hAnsi="XO Thames"/>
      <w:b w:val="1"/>
      <w:sz w:val="28"/>
    </w:rPr>
  </w:style>
  <w:style w:styleId="Style_49_ch" w:type="character">
    <w:name w:val="heading 2"/>
    <w:link w:val="Style_49"/>
    <w:rPr>
      <w:rFonts w:ascii="XO Thames" w:hAnsi="XO Thames"/>
      <w:b w:val="1"/>
      <w:sz w:val="28"/>
    </w:rPr>
  </w:style>
  <w:style w:styleId="Style_50" w:type="paragraph">
    <w:name w:val="Гиперссылка3"/>
    <w:link w:val="Style_50_ch"/>
    <w:rPr>
      <w:color w:val="0000FF"/>
      <w:u w:val="single"/>
    </w:rPr>
  </w:style>
  <w:style w:styleId="Style_50_ch" w:type="character">
    <w:name w:val="Гиперссылка3"/>
    <w:link w:val="Style_50"/>
    <w:rPr>
      <w:color w:val="0000FF"/>
      <w:u w:val="single"/>
    </w:rPr>
  </w:style>
  <w:style w:styleId="Style_51" w:type="paragraph">
    <w:name w:val="footer"/>
    <w:basedOn w:val="Style_6"/>
    <w:link w:val="Style_51_ch"/>
    <w:pPr>
      <w:tabs>
        <w:tab w:leader="none" w:pos="4153" w:val="center"/>
        <w:tab w:leader="none" w:pos="8306" w:val="right"/>
      </w:tabs>
      <w:ind/>
    </w:pPr>
    <w:rPr>
      <w:sz w:val="20"/>
    </w:rPr>
  </w:style>
  <w:style w:styleId="Style_51_ch" w:type="character">
    <w:name w:val="footer"/>
    <w:basedOn w:val="Style_6_ch"/>
    <w:link w:val="Style_51"/>
    <w:rPr>
      <w:sz w:val="20"/>
    </w:rPr>
  </w:style>
  <w:style w:default="1" w:styleId="Style_3"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21" Target="theme/theme1.xml" Type="http://schemas.openxmlformats.org/officeDocument/2006/relationships/theme"/>
  <Relationship Id="rId13" Target="media/12.png" Type="http://schemas.openxmlformats.org/officeDocument/2006/relationships/image"/>
  <Relationship Id="rId11" Target="media/10.png" Type="http://schemas.openxmlformats.org/officeDocument/2006/relationships/image"/>
  <Relationship Id="rId18" Target="styles.xml" Type="http://schemas.openxmlformats.org/officeDocument/2006/relationships/styles"/>
  <Relationship Id="rId17" Target="settings.xml" Type="http://schemas.openxmlformats.org/officeDocument/2006/relationships/settings"/>
  <Relationship Id="rId10" Target="media/9.png" Type="http://schemas.openxmlformats.org/officeDocument/2006/relationships/image"/>
  <Relationship Id="rId15" Target="media/14.png" Type="http://schemas.openxmlformats.org/officeDocument/2006/relationships/image"/>
  <Relationship Id="rId9" Target="media/8.wmf" Type="http://schemas.openxmlformats.org/officeDocument/2006/relationships/image"/>
  <Relationship Id="rId20" Target="webSettings.xml" Type="http://schemas.openxmlformats.org/officeDocument/2006/relationships/webSettings"/>
  <Relationship Id="rId19" Target="stylesWithEffects.xml" Type="http://schemas.microsoft.com/office/2007/relationships/stylesWithEffects"/>
  <Relationship Id="rId8" Target="media/7.png" Type="http://schemas.openxmlformats.org/officeDocument/2006/relationships/image"/>
  <Relationship Id="rId7" Target="media/6.png" Type="http://schemas.openxmlformats.org/officeDocument/2006/relationships/image"/>
  <Relationship Id="rId14" Target="media/13.png" Type="http://schemas.openxmlformats.org/officeDocument/2006/relationships/image"/>
  <Relationship Id="rId6" Target="media/5.png" Type="http://schemas.openxmlformats.org/officeDocument/2006/relationships/image"/>
  <Relationship Id="rId5" Target="media/4.png" Type="http://schemas.openxmlformats.org/officeDocument/2006/relationships/image"/>
  <Relationship Id="rId4" Target="media/3.png" Type="http://schemas.openxmlformats.org/officeDocument/2006/relationships/image"/>
  <Relationship Id="rId16" Target="fontTable.xml" Type="http://schemas.openxmlformats.org/officeDocument/2006/relationships/fontTable"/>
  <Relationship Id="rId12" Target="media/11.png" Type="http://schemas.openxmlformats.org/officeDocument/2006/relationships/image"/>
  <Relationship Id="rId3" Target="media/2.png" Type="http://schemas.openxmlformats.org/officeDocument/2006/relationships/image"/>
  <Relationship Id="rId2" Target="media/1.png" Type="http://schemas.openxmlformats.org/officeDocument/2006/relationships/image"/>
  <Relationship Id="rId1" Target="header1.xml" Type="http://schemas.openxmlformats.org/officeDocument/2006/relationships/head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MyOffice-CoreFramework-Windows/26-1013.725.7203.647.3@RELEASE-DESKTOP-YERBA-RC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2026-10-12T14:20:19Z</dcterms:modified>
</cp:coreProperties>
</file>