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ind w:firstLine="0" w:left="0"/>
        <w:jc w:val="center"/>
        <w:outlineLvl w:val="2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Пояснительная записка</w:t>
      </w:r>
    </w:p>
    <w:p w14:paraId="0400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проекту постановления Правительства Ивановской области</w:t>
      </w:r>
    </w:p>
    <w:p w14:paraId="0500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внесении изменений </w:t>
      </w:r>
      <w:r>
        <w:rPr>
          <w:rFonts w:ascii="Times New Roman" w:hAnsi="Times New Roman"/>
          <w:sz w:val="28"/>
        </w:rPr>
        <w:t>в некоторые постановления</w:t>
      </w:r>
    </w:p>
    <w:p w14:paraId="0600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Правительства</w:t>
      </w:r>
      <w:r>
        <w:rPr>
          <w:rFonts w:ascii="Times New Roman" w:hAnsi="Times New Roman"/>
          <w:sz w:val="28"/>
        </w:rPr>
        <w:t xml:space="preserve"> Ивановской области</w:t>
      </w:r>
      <w:r>
        <w:rPr>
          <w:rFonts w:ascii="Times New Roman" w:hAnsi="Times New Roman"/>
          <w:sz w:val="28"/>
        </w:rPr>
        <w:t>»</w:t>
      </w:r>
    </w:p>
    <w:p w14:paraId="07000000">
      <w:pPr>
        <w:pStyle w:val="Style_3"/>
        <w:ind/>
        <w:jc w:val="center"/>
        <w:rPr>
          <w:rFonts w:ascii="Times New Roman" w:hAnsi="Times New Roman"/>
          <w:b w:val="0"/>
          <w:sz w:val="28"/>
        </w:rPr>
      </w:pPr>
    </w:p>
    <w:p w14:paraId="08000000">
      <w:pPr>
        <w:ind w:firstLine="709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>Проект постановления Правительства Ивановской области</w:t>
      </w:r>
      <w:r>
        <w:rPr>
          <w:rFonts w:ascii="Times New Roman" w:hAnsi="Times New Roman"/>
          <w:b w:val="0"/>
          <w:sz w:val="28"/>
        </w:rPr>
        <w:t xml:space="preserve"> «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внесении изменений </w:t>
      </w:r>
      <w:r>
        <w:rPr>
          <w:rFonts w:ascii="Times New Roman" w:hAnsi="Times New Roman"/>
          <w:sz w:val="28"/>
        </w:rPr>
        <w:t xml:space="preserve">в некоторые постановления </w:t>
      </w:r>
      <w:r>
        <w:rPr>
          <w:rFonts w:ascii="Times New Roman" w:hAnsi="Times New Roman"/>
          <w:sz w:val="28"/>
        </w:rPr>
        <w:t>Правительства</w:t>
      </w:r>
      <w:r>
        <w:rPr>
          <w:rFonts w:ascii="Times New Roman" w:hAnsi="Times New Roman"/>
          <w:sz w:val="28"/>
        </w:rPr>
        <w:t xml:space="preserve"> Ивановской области</w:t>
      </w:r>
      <w:r>
        <w:rPr>
          <w:rFonts w:ascii="Times New Roman" w:hAnsi="Times New Roman"/>
          <w:b w:val="0"/>
          <w:sz w:val="28"/>
        </w:rPr>
        <w:t>» (далее – проект)</w:t>
      </w:r>
      <w:r>
        <w:rPr>
          <w:b w:val="0"/>
          <w:sz w:val="28"/>
        </w:rPr>
        <w:t xml:space="preserve"> подготовлен</w:t>
      </w:r>
      <w:r>
        <w:rPr>
          <w:sz w:val="28"/>
        </w:rPr>
        <w:t xml:space="preserve"> в</w:t>
      </w:r>
      <w:r>
        <w:rPr>
          <w:sz w:val="28"/>
        </w:rPr>
        <w:t xml:space="preserve"> соответствии с </w:t>
      </w:r>
      <w:r>
        <w:rPr>
          <w:sz w:val="28"/>
        </w:rPr>
        <w:t xml:space="preserve">Федеральным законом </w:t>
      </w:r>
      <w:r>
        <w:br/>
      </w:r>
      <w:r>
        <w:rPr>
          <w:sz w:val="28"/>
        </w:rPr>
        <w:t>от 29.12.2014 № 473-ФЗ «</w:t>
      </w:r>
      <w:r>
        <w:rPr>
          <w:sz w:val="28"/>
        </w:rPr>
        <w:t xml:space="preserve">О территориях опережающего развития </w:t>
      </w:r>
      <w:r>
        <w:br/>
      </w:r>
      <w:r>
        <w:rPr>
          <w:sz w:val="28"/>
        </w:rPr>
        <w:t xml:space="preserve">в Российской Федерации», </w:t>
      </w:r>
      <w:r>
        <w:rPr>
          <w:sz w:val="28"/>
        </w:rPr>
        <w:t>постановлениями Правительства</w:t>
      </w:r>
      <w:r>
        <w:rPr>
          <w:sz w:val="28"/>
        </w:rPr>
        <w:t xml:space="preserve"> Российской Федерации от 19.09.2022 </w:t>
      </w:r>
      <w:r>
        <w:rPr>
          <w:sz w:val="28"/>
        </w:rPr>
        <w:t xml:space="preserve">№ 1659 «Об утверждении Правил предоставления </w:t>
      </w:r>
      <w:r>
        <w:br/>
      </w:r>
      <w:r>
        <w:rPr>
          <w:sz w:val="28"/>
        </w:rPr>
        <w:t>и распределения субсидий из федерального бюджета бюджетам субъектов Российской Федерации на государственную поддержку проектов создания, развития и (или) модернизации объектов</w:t>
      </w:r>
      <w:r>
        <w:rPr>
          <w:sz w:val="28"/>
        </w:rPr>
        <w:t xml:space="preserve"> инфраструктуры промышленных технопарков в сфере электронной промышленности», </w:t>
      </w:r>
      <w:r>
        <w:rPr>
          <w:sz w:val="28"/>
        </w:rPr>
        <w:t xml:space="preserve">от 25.10.2023 </w:t>
      </w:r>
      <w:r>
        <w:rPr>
          <w:sz w:val="28"/>
        </w:rPr>
        <w:t>№ 1782 «</w:t>
      </w:r>
      <w:r>
        <w:rPr>
          <w:sz w:val="28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</w:t>
      </w:r>
      <w:r>
        <w:br/>
      </w:r>
      <w:r>
        <w:rPr>
          <w:sz w:val="28"/>
        </w:rPr>
        <w:t xml:space="preserve"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</w:t>
      </w:r>
      <w:r>
        <w:rPr>
          <w:sz w:val="28"/>
        </w:rPr>
        <w:t>в целях актуализации законодательства Ивановской области в инвестиционной сфере</w:t>
      </w:r>
      <w:r>
        <w:rPr>
          <w:sz w:val="28"/>
        </w:rPr>
        <w:t>.</w:t>
      </w:r>
    </w:p>
    <w:p w14:paraId="09000000">
      <w:pPr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 xml:space="preserve">Проектом вносятся изменения в </w:t>
      </w:r>
      <w:r>
        <w:rPr>
          <w:sz w:val="28"/>
        </w:rPr>
        <w:t>П</w:t>
      </w:r>
      <w:r>
        <w:rPr>
          <w:sz w:val="28"/>
        </w:rPr>
        <w:t xml:space="preserve">орядок рассмотрения документов, обосновывающих соответствие объекта социально-культурного назначения, масштабного инвестиционного проекта критериям, установленным Законом Ивановской области </w:t>
      </w:r>
      <w:r>
        <w:rPr>
          <w:sz w:val="28"/>
        </w:rPr>
        <w:t xml:space="preserve">от 06.05.2016 </w:t>
      </w:r>
      <w:r>
        <w:rPr>
          <w:sz w:val="28"/>
        </w:rPr>
        <w:t xml:space="preserve">№ 20-ОЗ «Об установлении критериев, которым должны соответствовать объекты социально-культурного назначения, масштабные инвестиционные проекты, для размещения (реализации) которых допускается предоставление земельного участка, находящегося </w:t>
      </w:r>
      <w:r>
        <w:rPr>
          <w:sz w:val="28"/>
        </w:rPr>
        <w:t xml:space="preserve">в собственности Ивановской области, муниципальной собственности, </w:t>
      </w:r>
      <w:r>
        <w:rPr>
          <w:sz w:val="28"/>
        </w:rPr>
        <w:t xml:space="preserve">а также земельного участка, государственная собственность </w:t>
      </w:r>
      <w:r>
        <w:br/>
      </w:r>
      <w:r>
        <w:rPr>
          <w:sz w:val="28"/>
        </w:rPr>
        <w:t>на который не разграничена, в аренду юридическому лицу без проведения торгов, утвержденный</w:t>
      </w:r>
      <w:r>
        <w:rPr>
          <w:sz w:val="28"/>
        </w:rPr>
        <w:t xml:space="preserve"> п</w:t>
      </w:r>
      <w:r>
        <w:rPr>
          <w:sz w:val="28"/>
        </w:rPr>
        <w:t xml:space="preserve">остановлением Правительства Ивановской области </w:t>
      </w:r>
      <w:r>
        <w:br/>
      </w:r>
      <w:r>
        <w:rPr>
          <w:sz w:val="28"/>
        </w:rPr>
        <w:t>от 19.05.2016 № 137-п, в части дополнения перечня документов, прилагаемых к заявлению инвестора</w:t>
      </w:r>
      <w:r>
        <w:rPr>
          <w:sz w:val="28"/>
        </w:rPr>
        <w:t>.</w:t>
      </w:r>
    </w:p>
    <w:p w14:paraId="0A000000">
      <w:pPr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 xml:space="preserve">Данное дополнение необходимо в целях более объективного </w:t>
      </w:r>
      <w:r>
        <w:br/>
      </w:r>
      <w:r>
        <w:rPr>
          <w:sz w:val="28"/>
        </w:rPr>
        <w:t xml:space="preserve">и всестороннего рассмотрения инвестиционного проекта, претендующего </w:t>
      </w:r>
      <w:r>
        <w:br/>
      </w:r>
      <w:r>
        <w:rPr>
          <w:sz w:val="28"/>
        </w:rPr>
        <w:t xml:space="preserve">на оказание государственной поддержки в форме предоставления земельного участка, </w:t>
      </w:r>
      <w:r>
        <w:rPr>
          <w:sz w:val="28"/>
        </w:rPr>
        <w:t xml:space="preserve">находящегося </w:t>
      </w:r>
      <w:r>
        <w:rPr>
          <w:sz w:val="28"/>
        </w:rPr>
        <w:t xml:space="preserve">в собственности Ивановской области, муниципальной собственности, </w:t>
      </w:r>
      <w:r>
        <w:rPr>
          <w:sz w:val="28"/>
        </w:rPr>
        <w:t xml:space="preserve">а также земельного участка, государственная собственность </w:t>
      </w:r>
      <w:r>
        <w:br/>
      </w:r>
      <w:r>
        <w:rPr>
          <w:sz w:val="28"/>
        </w:rPr>
        <w:t>на ко</w:t>
      </w:r>
      <w:r>
        <w:rPr>
          <w:sz w:val="28"/>
        </w:rPr>
        <w:t>торый не разграничена, в аренду без проведения торгов.</w:t>
      </w:r>
    </w:p>
    <w:p w14:paraId="0B000000">
      <w:pPr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 xml:space="preserve">Также, в целях установления более полной ответственности инвестора </w:t>
      </w:r>
      <w:r>
        <w:br/>
      </w:r>
      <w:r>
        <w:rPr>
          <w:sz w:val="28"/>
        </w:rPr>
        <w:t>в случае невыполнения им св</w:t>
      </w:r>
      <w:r>
        <w:rPr>
          <w:sz w:val="28"/>
        </w:rPr>
        <w:t xml:space="preserve">оих обязательств по реализации масштабного инвестиционного проекта, размер компенсации в консолидированный бюджет Ивановской области </w:t>
      </w:r>
      <w:r>
        <w:rPr>
          <w:sz w:val="28"/>
        </w:rPr>
        <w:t xml:space="preserve">стоимости объектов инфраструктуры, обязательства </w:t>
      </w:r>
      <w:r>
        <w:br/>
      </w:r>
      <w:r>
        <w:rPr>
          <w:sz w:val="28"/>
        </w:rPr>
        <w:t xml:space="preserve">по созданию, модернизации и (или) реконструкции которых в целях реализации масштабного инвестиционного проекта увеличен с 50% до 100% путем внесения соответствующих изменений в типовую форму соглашения </w:t>
      </w:r>
      <w:r>
        <w:br/>
      </w:r>
      <w:r>
        <w:rPr>
          <w:sz w:val="28"/>
        </w:rPr>
        <w:t>о мерах по реализации масштабного инвестиционного проекта.</w:t>
      </w:r>
    </w:p>
    <w:p w14:paraId="0C000000">
      <w:pPr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>Проектом вносятся изменения в</w:t>
      </w:r>
      <w:r>
        <w:rPr>
          <w:sz w:val="28"/>
        </w:rPr>
        <w:t xml:space="preserve"> постановление</w:t>
      </w:r>
      <w:r>
        <w:rPr>
          <w:sz w:val="28"/>
        </w:rPr>
        <w:t xml:space="preserve"> Правительства Ивановской области </w:t>
      </w:r>
      <w:r>
        <w:rPr>
          <w:sz w:val="28"/>
        </w:rPr>
        <w:t>о</w:t>
      </w:r>
      <w:r>
        <w:rPr>
          <w:sz w:val="28"/>
        </w:rPr>
        <w:t xml:space="preserve">т 13.04.2018 № 103-п «О мерах по реализации Федерального закона </w:t>
      </w:r>
      <w:r>
        <w:rPr>
          <w:sz w:val="28"/>
        </w:rPr>
        <w:t>от</w:t>
      </w:r>
      <w:r>
        <w:rPr>
          <w:sz w:val="28"/>
        </w:rPr>
        <w:t xml:space="preserve"> 29.12.2014 № 473-ФЗ «О территориях опережающего социально-экономического развития в Российской Федерации» в части приведения терминологии постановления в соответствие с указанным федеральным законом.</w:t>
      </w:r>
    </w:p>
    <w:p w14:paraId="0D000000">
      <w:pPr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z w:val="28"/>
        </w:rPr>
        <w:t>Проектом вносятся изменения в</w:t>
      </w:r>
      <w:r>
        <w:rPr>
          <w:sz w:val="28"/>
        </w:rPr>
        <w:t xml:space="preserve"> </w:t>
      </w:r>
      <w:r>
        <w:rPr>
          <w:sz w:val="28"/>
        </w:rPr>
        <w:t>Порядок проведения регионального отбора проектов создания, развития и (или) модернизации объектов инфраструктуры промышле</w:t>
      </w:r>
      <w:r>
        <w:rPr>
          <w:sz w:val="28"/>
        </w:rPr>
        <w:t xml:space="preserve">нных технопарков в сфере электронной промышленности Ивановской области, утвержденный </w:t>
      </w:r>
      <w:r>
        <w:rPr>
          <w:sz w:val="28"/>
        </w:rPr>
        <w:t xml:space="preserve">постановлением Правительства Ивановской области </w:t>
      </w:r>
      <w:r>
        <w:rPr>
          <w:sz w:val="28"/>
        </w:rPr>
        <w:t>от 16.03.2023 № 132-п, в части уточнения критериев и требований, которым</w:t>
      </w:r>
      <w:r>
        <w:rPr>
          <w:sz w:val="28"/>
        </w:rPr>
        <w:t xml:space="preserve"> должна соответствовать</w:t>
      </w:r>
      <w:r>
        <w:rPr>
          <w:sz w:val="28"/>
        </w:rPr>
        <w:t xml:space="preserve"> у</w:t>
      </w:r>
      <w:r>
        <w:rPr>
          <w:sz w:val="28"/>
        </w:rPr>
        <w:t xml:space="preserve">правляющая </w:t>
      </w:r>
      <w:r>
        <w:rPr>
          <w:sz w:val="28"/>
        </w:rPr>
        <w:t>компания - участник отбора</w:t>
      </w:r>
      <w:r>
        <w:rPr>
          <w:sz w:val="28"/>
        </w:rPr>
        <w:t>.</w:t>
      </w:r>
    </w:p>
    <w:p w14:paraId="0E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Указанные критерии и требования установлены постановлениями Правительства Российской Федерации от 19.09.2022 № 1659 «Об утверждении Правил предоставления и распределения субсидий из федерального бюджета бюджетам субъектов Российской Федерации на государственную поддержку проектов создания, развития и (или) модернизации объектов инфраструктуры промышленных технопарков в сфере электронной промышленности», </w:t>
      </w:r>
      <w:r>
        <w:br/>
      </w:r>
      <w:r>
        <w:rPr>
          <w:sz w:val="28"/>
        </w:rPr>
        <w:t>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субсидий».</w:t>
      </w:r>
    </w:p>
    <w:p w14:paraId="0F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 xml:space="preserve">Проектом вносятся изменения в </w:t>
      </w:r>
      <w:r>
        <w:rPr>
          <w:sz w:val="28"/>
        </w:rPr>
        <w:t>п</w:t>
      </w:r>
      <w:r>
        <w:rPr>
          <w:sz w:val="28"/>
        </w:rPr>
        <w:t>остановление Правительства Ивановской области от 25.09.2025 № 375-п «</w:t>
      </w:r>
      <w:r>
        <w:rPr>
          <w:sz w:val="28"/>
        </w:rPr>
        <w:t xml:space="preserve">Об утверждении Порядка предоставления субсидии автономной некоммерческой организации «Центр развития предпринимательства и поддержки экспорта Ивановской области» </w:t>
      </w:r>
      <w:r>
        <w:br/>
      </w:r>
      <w:r>
        <w:rPr>
          <w:sz w:val="28"/>
        </w:rPr>
        <w:t xml:space="preserve">на реализацию мероприятий по повышению производительности труда </w:t>
      </w:r>
      <w:r>
        <w:br/>
      </w:r>
      <w:r>
        <w:rPr>
          <w:sz w:val="28"/>
        </w:rPr>
        <w:t>на предприятиях Ивановской области и о признании утратившими силу некоторых постановлений Прави</w:t>
      </w:r>
      <w:r>
        <w:rPr>
          <w:sz w:val="28"/>
        </w:rPr>
        <w:t xml:space="preserve">тельства Ивановской области» в части приведения в соответствие с </w:t>
      </w:r>
      <w:r>
        <w:rPr>
          <w:sz w:val="28"/>
        </w:rPr>
        <w:t>постановлением Правительства Российской Федерации</w:t>
      </w:r>
      <w:r>
        <w:rPr>
          <w:sz w:val="28"/>
        </w:rPr>
        <w:t xml:space="preserve"> </w:t>
      </w:r>
      <w:r>
        <w:rPr>
          <w:sz w:val="28"/>
        </w:rPr>
        <w:t xml:space="preserve">25.10.2023 № 1782 «Об утверждении общих требований </w:t>
      </w:r>
      <w:r>
        <w:br/>
      </w:r>
      <w:r>
        <w:rPr>
          <w:sz w:val="28"/>
        </w:rPr>
        <w:t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субсидий».</w:t>
      </w:r>
    </w:p>
    <w:p w14:paraId="10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В связи с тем, что проект регулирует отношения, предусмотренные пунктом 1.4 Порядка </w:t>
      </w:r>
      <w:r>
        <w:rPr>
          <w:sz w:val="28"/>
        </w:rPr>
        <w:t>проведения оценки регулирующего воздействия прое</w:t>
      </w:r>
      <w:r>
        <w:rPr>
          <w:sz w:val="28"/>
        </w:rPr>
        <w:t>ктов нормативных правовых актов Ивановской</w:t>
      </w:r>
      <w:r>
        <w:rPr>
          <w:sz w:val="28"/>
        </w:rPr>
        <w:t xml:space="preserve"> области, утвержденного постановлением Правительства Ивановской области </w:t>
      </w:r>
      <w:r>
        <w:rPr>
          <w:sz w:val="28"/>
        </w:rPr>
        <w:t xml:space="preserve">от 17.12.2013 № 534-п </w:t>
      </w:r>
      <w:r>
        <w:rPr>
          <w:sz w:val="28"/>
        </w:rPr>
        <w:t>«Об оценке регулирующего воздействия проектов нормативных правовых актов Ивановской области», требуется проведение оценки регулир</w:t>
      </w:r>
      <w:r>
        <w:rPr>
          <w:sz w:val="28"/>
        </w:rPr>
        <w:t>ующего воздействия.</w:t>
      </w:r>
    </w:p>
    <w:p w14:paraId="11000000">
      <w:pPr>
        <w:ind w:firstLine="709" w:left="0"/>
        <w:jc w:val="both"/>
        <w:rPr>
          <w:sz w:val="28"/>
        </w:rPr>
      </w:pPr>
      <w:bookmarkStart w:id="1" w:name="_GoBack"/>
      <w:bookmarkEnd w:id="1"/>
      <w:r>
        <w:rPr>
          <w:sz w:val="28"/>
        </w:rPr>
        <w:t>В случае принятия постановления не потребуется признание утратившими силу, изменение либо принятие иных нормативных правовых актов Ивановской области.</w:t>
      </w:r>
    </w:p>
    <w:p w14:paraId="12000000">
      <w:pPr>
        <w:ind w:firstLine="709" w:left="0"/>
        <w:jc w:val="both"/>
        <w:rPr>
          <w:sz w:val="28"/>
        </w:rPr>
      </w:pPr>
      <w:r>
        <w:rPr>
          <w:sz w:val="28"/>
        </w:rPr>
        <w:t>Принятие постановления не потребует финансовых затрат из бюджета Ивановской области.</w:t>
      </w:r>
    </w:p>
    <w:p w14:paraId="13000000">
      <w:pPr>
        <w:ind/>
        <w:jc w:val="both"/>
        <w:rPr>
          <w:sz w:val="28"/>
        </w:rPr>
      </w:pPr>
    </w:p>
    <w:p w14:paraId="14000000">
      <w:pPr>
        <w:ind/>
        <w:jc w:val="both"/>
        <w:rPr>
          <w:sz w:val="28"/>
        </w:rPr>
      </w:pPr>
    </w:p>
    <w:p w14:paraId="15000000">
      <w:pPr>
        <w:ind/>
        <w:jc w:val="both"/>
        <w:rPr>
          <w:sz w:val="27"/>
        </w:rPr>
      </w:pPr>
    </w:p>
    <w:p w14:paraId="16000000">
      <w:pPr>
        <w:rPr>
          <w:b w:val="1"/>
          <w:sz w:val="28"/>
        </w:rPr>
      </w:pPr>
      <w:r>
        <w:rPr>
          <w:b w:val="1"/>
          <w:sz w:val="28"/>
        </w:rPr>
        <w:t xml:space="preserve">Член Правительства Ивановской </w:t>
      </w:r>
    </w:p>
    <w:p w14:paraId="17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области - директор Департамента </w:t>
      </w:r>
    </w:p>
    <w:p w14:paraId="18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экономического развития и торговли </w:t>
      </w:r>
    </w:p>
    <w:p w14:paraId="19000000">
      <w:pPr>
        <w:ind/>
        <w:jc w:val="both"/>
        <w:rPr>
          <w:b w:val="1"/>
          <w:sz w:val="27"/>
        </w:rPr>
      </w:pPr>
      <w:r>
        <w:rPr>
          <w:b w:val="1"/>
          <w:sz w:val="28"/>
        </w:rPr>
        <w:t>Ивановской области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      Е.Н. Соколова</w:t>
      </w:r>
    </w:p>
    <w:p w14:paraId="1A000000">
      <w:pPr>
        <w:ind/>
        <w:jc w:val="both"/>
        <w:rPr>
          <w:b w:val="0"/>
          <w:sz w:val="27"/>
        </w:rPr>
      </w:pPr>
    </w:p>
    <w:sectPr>
      <w:headerReference r:id="rId1" w:type="default"/>
      <w:pgSz w:h="16838" w:orient="portrait" w:w="11906"/>
      <w:pgMar w:bottom="993" w:footer="720" w:gutter="0" w:header="720" w:left="1559" w:right="849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Основной шрифт абзаца2"/>
    <w:link w:val="Style_5_ch"/>
  </w:style>
  <w:style w:styleId="Style_5_ch" w:type="character">
    <w:name w:val="Основной шрифт абзаца2"/>
    <w:link w:val="Style_5"/>
  </w:style>
  <w:style w:styleId="Style_6" w:type="paragraph">
    <w:name w:val="toc 2"/>
    <w:next w:val="Style_4"/>
    <w:link w:val="Style_6_ch"/>
    <w:uiPriority w:val="39"/>
    <w:pPr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Гиперссылка1"/>
    <w:link w:val="Style_7_ch"/>
    <w:rPr>
      <w:color w:val="0000FF"/>
      <w:u w:val="single"/>
    </w:rPr>
  </w:style>
  <w:style w:styleId="Style_7_ch" w:type="character">
    <w:name w:val="Гиперссылка1"/>
    <w:link w:val="Style_7"/>
    <w:rPr>
      <w:color w:val="0000FF"/>
      <w:u w:val="single"/>
    </w:rPr>
  </w:style>
  <w:style w:styleId="Style_8" w:type="paragraph">
    <w:name w:val="toc 4"/>
    <w:next w:val="Style_4"/>
    <w:link w:val="Style_8_ch"/>
    <w:uiPriority w:val="39"/>
    <w:pPr>
      <w:ind w:firstLine="0"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Знак Знак Знак Знак Знак Знак Знак Знак Знак Знак"/>
    <w:link w:val="Style_9_ch"/>
    <w:pPr>
      <w:spacing w:afterAutospacing="on" w:beforeAutospacing="on"/>
      <w:ind/>
    </w:pPr>
    <w:rPr>
      <w:rFonts w:ascii="Tahoma" w:hAnsi="Tahoma"/>
    </w:rPr>
  </w:style>
  <w:style w:styleId="Style_9_ch" w:type="character">
    <w:name w:val="Знак Знак Знак Знак Знак Знак Знак Знак Знак Знак"/>
    <w:link w:val="Style_9"/>
    <w:rPr>
      <w:rFonts w:ascii="Tahoma" w:hAnsi="Tahoma"/>
    </w:rPr>
  </w:style>
  <w:style w:styleId="Style_10" w:type="paragraph">
    <w:name w:val="toc 6"/>
    <w:next w:val="Style_4"/>
    <w:link w:val="Style_10_ch"/>
    <w:uiPriority w:val="39"/>
    <w:pPr>
      <w:ind w:firstLine="0"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ind w:firstLine="0"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Balloon Text"/>
    <w:basedOn w:val="Style_4"/>
    <w:link w:val="Style_12_ch"/>
    <w:rPr>
      <w:rFonts w:ascii="Tahoma" w:hAnsi="Tahoma"/>
      <w:sz w:val="16"/>
    </w:rPr>
  </w:style>
  <w:style w:styleId="Style_12_ch" w:type="character">
    <w:name w:val="Balloon Text"/>
    <w:basedOn w:val="Style_4_ch"/>
    <w:link w:val="Style_12"/>
    <w:rPr>
      <w:rFonts w:ascii="Tahoma" w:hAnsi="Tahoma"/>
      <w:sz w:val="16"/>
    </w:rPr>
  </w:style>
  <w:style w:styleId="Style_13" w:type="paragraph">
    <w:name w:val="heading 3"/>
    <w:next w:val="Style_4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Обычный1"/>
    <w:link w:val="Style_14_ch"/>
    <w:rPr>
      <w:sz w:val="24"/>
    </w:rPr>
  </w:style>
  <w:style w:styleId="Style_14_ch" w:type="character">
    <w:name w:val="Обычный1"/>
    <w:link w:val="Style_14"/>
    <w:rPr>
      <w:sz w:val="24"/>
    </w:rPr>
  </w:style>
  <w:style w:styleId="Style_15" w:type="paragraph">
    <w:name w:val="Гиперссылка1"/>
    <w:link w:val="Style_15_ch"/>
    <w:rPr>
      <w:color w:val="0000FF"/>
      <w:u w:val="single"/>
    </w:rPr>
  </w:style>
  <w:style w:styleId="Style_15_ch" w:type="character">
    <w:name w:val="Гиперссылка1"/>
    <w:link w:val="Style_15"/>
    <w:rPr>
      <w:color w:val="0000FF"/>
      <w:u w:val="single"/>
    </w:rPr>
  </w:style>
  <w:style w:styleId="Style_16" w:type="paragraph">
    <w:name w:val="Body Text Indent"/>
    <w:basedOn w:val="Style_4"/>
    <w:link w:val="Style_16_ch"/>
    <w:pPr>
      <w:spacing w:after="120"/>
      <w:ind w:firstLine="0" w:left="283"/>
    </w:pPr>
  </w:style>
  <w:style w:styleId="Style_16_ch" w:type="character">
    <w:name w:val="Body Text Indent"/>
    <w:basedOn w:val="Style_4_ch"/>
    <w:link w:val="Style_16"/>
  </w:style>
  <w:style w:styleId="Style_17" w:type="paragraph">
    <w:name w:val="Гиперссылка2"/>
    <w:link w:val="Style_17_ch"/>
    <w:rPr>
      <w:color w:val="0000FF"/>
      <w:u w:val="single"/>
    </w:rPr>
  </w:style>
  <w:style w:styleId="Style_17_ch" w:type="character">
    <w:name w:val="Гиперссылка2"/>
    <w:link w:val="Style_17"/>
    <w:rPr>
      <w:color w:val="0000FF"/>
      <w:u w:val="single"/>
    </w:rPr>
  </w:style>
  <w:style w:styleId="Style_18" w:type="paragraph">
    <w:name w:val="toc 3"/>
    <w:next w:val="Style_4"/>
    <w:link w:val="Style_18_ch"/>
    <w:uiPriority w:val="39"/>
    <w:pPr>
      <w:ind w:firstLine="0" w:left="400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footer"/>
    <w:basedOn w:val="Style_4"/>
    <w:link w:val="Style_20_ch"/>
    <w:pPr>
      <w:tabs>
        <w:tab w:leader="none" w:pos="4677" w:val="center"/>
        <w:tab w:leader="none" w:pos="9355" w:val="right"/>
      </w:tabs>
      <w:ind/>
    </w:pPr>
  </w:style>
  <w:style w:styleId="Style_20_ch" w:type="character">
    <w:name w:val="footer"/>
    <w:basedOn w:val="Style_4_ch"/>
    <w:link w:val="Style_20"/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1" w:type="paragraph">
    <w:name w:val="heading 5"/>
    <w:next w:val="Style_4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Обычный1"/>
    <w:link w:val="Style_22_ch"/>
    <w:rPr>
      <w:sz w:val="24"/>
    </w:rPr>
  </w:style>
  <w:style w:styleId="Style_22_ch" w:type="character">
    <w:name w:val="Обычный1"/>
    <w:link w:val="Style_22"/>
    <w:rPr>
      <w:sz w:val="24"/>
    </w:rPr>
  </w:style>
  <w:style w:styleId="Style_23" w:type="paragraph">
    <w:name w:val="heading 1"/>
    <w:basedOn w:val="Style_4"/>
    <w:next w:val="Style_4"/>
    <w:link w:val="Style_23_ch"/>
    <w:uiPriority w:val="9"/>
    <w:qFormat/>
    <w:pPr>
      <w:keepNext w:val="1"/>
      <w:ind/>
      <w:outlineLvl w:val="0"/>
    </w:pPr>
  </w:style>
  <w:style w:styleId="Style_23_ch" w:type="character">
    <w:name w:val="heading 1"/>
    <w:basedOn w:val="Style_4_ch"/>
    <w:link w:val="Style_23"/>
  </w:style>
  <w:style w:styleId="Style_2" w:type="paragraph">
    <w:name w:val="ConsPlusNormal"/>
    <w:link w:val="Style_2_ch"/>
    <w:pPr>
      <w:ind w:firstLine="720" w:left="0"/>
    </w:pPr>
    <w:rPr>
      <w:rFonts w:ascii="Arial" w:hAnsi="Arial"/>
    </w:rPr>
  </w:style>
  <w:style w:styleId="Style_2_ch" w:type="character">
    <w:name w:val="ConsPlusNormal"/>
    <w:link w:val="Style_2"/>
    <w:rPr>
      <w:rFonts w:ascii="Arial" w:hAnsi="Arial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4"/>
    <w:link w:val="Style_26_ch"/>
    <w:uiPriority w:val="39"/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Цветовое выделение"/>
    <w:link w:val="Style_27_ch"/>
    <w:rPr>
      <w:b w:val="1"/>
      <w:color w:val="000080"/>
    </w:rPr>
  </w:style>
  <w:style w:styleId="Style_27_ch" w:type="character">
    <w:name w:val="Цветовое выделение"/>
    <w:link w:val="Style_27"/>
    <w:rPr>
      <w:b w:val="1"/>
      <w:color w:val="000080"/>
    </w:rPr>
  </w:style>
  <w:style w:styleId="Style_28" w:type="paragraph">
    <w:name w:val="Header and Footer"/>
    <w:link w:val="Style_28_ch"/>
    <w:pPr>
      <w:ind/>
      <w:jc w:val="both"/>
    </w:pPr>
    <w:rPr>
      <w:rFonts w:ascii="XO Thames" w:hAnsi="XO Thames"/>
    </w:rPr>
  </w:style>
  <w:style w:styleId="Style_28_ch" w:type="character">
    <w:name w:val="Header and Footer"/>
    <w:link w:val="Style_28"/>
    <w:rPr>
      <w:rFonts w:ascii="XO Thames" w:hAnsi="XO Thames"/>
    </w:rPr>
  </w:style>
  <w:style w:styleId="Style_29" w:type="paragraph">
    <w:name w:val="Основной шрифт абзаца2"/>
    <w:link w:val="Style_29_ch"/>
  </w:style>
  <w:style w:styleId="Style_29_ch" w:type="character">
    <w:name w:val="Основной шрифт абзаца2"/>
    <w:link w:val="Style_29"/>
  </w:style>
  <w:style w:styleId="Style_30" w:type="paragraph">
    <w:name w:val="Гиперссылка1"/>
    <w:link w:val="Style_30_ch"/>
    <w:rPr>
      <w:color w:val="0000FF"/>
      <w:u w:val="single"/>
    </w:rPr>
  </w:style>
  <w:style w:styleId="Style_30_ch" w:type="character">
    <w:name w:val="Гиперссылка1"/>
    <w:link w:val="Style_30"/>
    <w:rPr>
      <w:color w:val="0000FF"/>
      <w:u w:val="single"/>
    </w:rPr>
  </w:style>
  <w:style w:styleId="Style_31" w:type="paragraph">
    <w:name w:val="toc 9"/>
    <w:next w:val="Style_4"/>
    <w:link w:val="Style_31_ch"/>
    <w:uiPriority w:val="39"/>
    <w:pPr>
      <w:ind w:firstLine="0" w:left="1600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32" w:type="paragraph">
    <w:name w:val="Обычный1"/>
    <w:link w:val="Style_32_ch"/>
    <w:rPr>
      <w:sz w:val="24"/>
    </w:rPr>
  </w:style>
  <w:style w:styleId="Style_32_ch" w:type="character">
    <w:name w:val="Обычный1"/>
    <w:link w:val="Style_32"/>
    <w:rPr>
      <w:sz w:val="24"/>
    </w:rPr>
  </w:style>
  <w:style w:styleId="Style_3" w:type="paragraph">
    <w:name w:val="ConsPlusTitle"/>
    <w:link w:val="Style_3_ch"/>
    <w:pPr>
      <w:widowControl w:val="0"/>
      <w:ind/>
    </w:pPr>
    <w:rPr>
      <w:rFonts w:ascii="Calibri" w:hAnsi="Calibri"/>
      <w:b w:val="1"/>
      <w:sz w:val="22"/>
    </w:rPr>
  </w:style>
  <w:style w:styleId="Style_3_ch" w:type="character">
    <w:name w:val="ConsPlusTitle"/>
    <w:link w:val="Style_3"/>
    <w:rPr>
      <w:rFonts w:ascii="Calibri" w:hAnsi="Calibri"/>
      <w:b w:val="1"/>
      <w:sz w:val="22"/>
    </w:rPr>
  </w:style>
  <w:style w:styleId="Style_33" w:type="paragraph">
    <w:name w:val="Основной шрифт абзаца1"/>
    <w:link w:val="Style_33_ch"/>
  </w:style>
  <w:style w:styleId="Style_33_ch" w:type="character">
    <w:name w:val="Основной шрифт абзаца1"/>
    <w:link w:val="Style_33"/>
  </w:style>
  <w:style w:styleId="Style_34" w:type="paragraph">
    <w:name w:val="toc 8"/>
    <w:next w:val="Style_4"/>
    <w:link w:val="Style_34_ch"/>
    <w:uiPriority w:val="39"/>
    <w:pPr>
      <w:ind w:firstLine="0" w:left="1400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5" w:type="paragraph">
    <w:name w:val="Основной шрифт абзаца3"/>
    <w:link w:val="Style_35_ch"/>
  </w:style>
  <w:style w:styleId="Style_35_ch" w:type="character">
    <w:name w:val="Основной шрифт абзаца3"/>
    <w:link w:val="Style_35"/>
  </w:style>
  <w:style w:styleId="Style_36" w:type="paragraph">
    <w:name w:val="Обычный1"/>
    <w:link w:val="Style_36_ch"/>
    <w:rPr>
      <w:sz w:val="24"/>
    </w:rPr>
  </w:style>
  <w:style w:styleId="Style_36_ch" w:type="character">
    <w:name w:val="Обычный1"/>
    <w:link w:val="Style_36"/>
    <w:rPr>
      <w:sz w:val="24"/>
    </w:rPr>
  </w:style>
  <w:style w:styleId="Style_37" w:type="paragraph">
    <w:name w:val="toc 5"/>
    <w:next w:val="Style_4"/>
    <w:link w:val="Style_37_ch"/>
    <w:uiPriority w:val="39"/>
    <w:pPr>
      <w:ind w:firstLine="0" w:left="800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Body Text 2"/>
    <w:basedOn w:val="Style_4"/>
    <w:link w:val="Style_38_ch"/>
    <w:pPr>
      <w:spacing w:after="120" w:line="480" w:lineRule="auto"/>
      <w:ind/>
    </w:pPr>
  </w:style>
  <w:style w:styleId="Style_38_ch" w:type="character">
    <w:name w:val="Body Text 2"/>
    <w:basedOn w:val="Style_4_ch"/>
    <w:link w:val="Style_38"/>
  </w:style>
  <w:style w:styleId="Style_39" w:type="paragraph">
    <w:name w:val="Subtitle"/>
    <w:next w:val="Style_4"/>
    <w:link w:val="Style_3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40" w:type="paragraph">
    <w:name w:val="Title"/>
    <w:next w:val="Style_4"/>
    <w:link w:val="Style_4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0_ch" w:type="character">
    <w:name w:val="Title"/>
    <w:link w:val="Style_40"/>
    <w:rPr>
      <w:rFonts w:ascii="XO Thames" w:hAnsi="XO Thames"/>
      <w:b w:val="1"/>
      <w:caps w:val="1"/>
      <w:sz w:val="40"/>
    </w:rPr>
  </w:style>
  <w:style w:styleId="Style_41" w:type="paragraph">
    <w:name w:val="heading 4"/>
    <w:next w:val="Style_4"/>
    <w:link w:val="Style_4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1_ch" w:type="character">
    <w:name w:val="heading 4"/>
    <w:link w:val="Style_41"/>
    <w:rPr>
      <w:rFonts w:ascii="XO Thames" w:hAnsi="XO Thames"/>
      <w:b w:val="1"/>
      <w:sz w:val="24"/>
    </w:rPr>
  </w:style>
  <w:style w:styleId="Style_42" w:type="paragraph">
    <w:name w:val="heading 2"/>
    <w:basedOn w:val="Style_4"/>
    <w:next w:val="Style_4"/>
    <w:link w:val="Style_42_ch"/>
    <w:uiPriority w:val="9"/>
    <w:qFormat/>
    <w:pPr>
      <w:keepNext w:val="1"/>
      <w:spacing w:after="60" w:before="240"/>
      <w:ind/>
      <w:outlineLvl w:val="1"/>
    </w:pPr>
    <w:rPr>
      <w:rFonts w:ascii="Cambria" w:hAnsi="Cambria"/>
      <w:b w:val="1"/>
      <w:i w:val="1"/>
      <w:sz w:val="28"/>
    </w:rPr>
  </w:style>
  <w:style w:styleId="Style_42_ch" w:type="character">
    <w:name w:val="heading 2"/>
    <w:basedOn w:val="Style_4_ch"/>
    <w:link w:val="Style_42"/>
    <w:rPr>
      <w:rFonts w:ascii="Cambria" w:hAnsi="Cambria"/>
      <w:b w:val="1"/>
      <w:i w:val="1"/>
      <w:sz w:val="28"/>
    </w:rPr>
  </w:style>
  <w:style w:styleId="Style_43" w:type="table">
    <w:name w:val="Table Grid"/>
    <w:basedOn w:val="Style_4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2026-07-09T15:25:34Z</dcterms:modified>
</cp:coreProperties>
</file>