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39" w:rsidRDefault="005261EB">
      <w:pPr>
        <w:jc w:val="center"/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C39" w:rsidRDefault="004F1C39">
      <w:pPr>
        <w:jc w:val="center"/>
      </w:pPr>
    </w:p>
    <w:p w:rsidR="006A0524" w:rsidRDefault="005261EB">
      <w:pPr>
        <w:pStyle w:val="a5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ДЕПАРТАМЕНТ ЭКОНОМИЧЕСКОГО РАЗВИТИЯ </w:t>
      </w:r>
    </w:p>
    <w:p w:rsidR="004F1C39" w:rsidRDefault="005261EB" w:rsidP="006A0524">
      <w:pPr>
        <w:pStyle w:val="a5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И ТОРГОВЛИ</w:t>
      </w:r>
      <w:r w:rsidR="006A0524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ИВАНОВСКОЙ ОБЛАСТИ</w:t>
      </w:r>
    </w:p>
    <w:p w:rsidR="004F1C39" w:rsidRDefault="005261EB">
      <w:pPr>
        <w:pStyle w:val="a5"/>
        <w:jc w:val="center"/>
        <w:rPr>
          <w:b/>
          <w:spacing w:val="20"/>
          <w:sz w:val="27"/>
        </w:rPr>
      </w:pPr>
      <w:r>
        <w:rPr>
          <w:b/>
          <w:noProof/>
          <w:spacing w:val="20"/>
          <w:sz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114300</wp:posOffset>
                </wp:positionV>
                <wp:extent cx="6057900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D6F50B8" id="Pictur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9pt" to="479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"/>
            </w:pict>
          </mc:Fallback>
        </mc:AlternateContent>
      </w:r>
    </w:p>
    <w:p w:rsidR="004F1C39" w:rsidRDefault="005261EB">
      <w:pPr>
        <w:jc w:val="center"/>
        <w:rPr>
          <w:sz w:val="20"/>
        </w:rPr>
      </w:pPr>
      <w:r>
        <w:rPr>
          <w:sz w:val="20"/>
        </w:rPr>
        <w:t>153000, г. Иваново, пл. Революции, д. 2/1, тел: (4932) 32-73-48, факс: (4932) 30-89-66,</w:t>
      </w:r>
    </w:p>
    <w:p w:rsidR="004F1C39" w:rsidRPr="008E5334" w:rsidRDefault="005261EB">
      <w:pPr>
        <w:jc w:val="center"/>
        <w:rPr>
          <w:sz w:val="20"/>
          <w:lang w:val="en-US"/>
        </w:rPr>
      </w:pPr>
      <w:proofErr w:type="gramStart"/>
      <w:r w:rsidRPr="008E5334">
        <w:rPr>
          <w:sz w:val="20"/>
          <w:lang w:val="en-US"/>
        </w:rPr>
        <w:t>e-mail</w:t>
      </w:r>
      <w:proofErr w:type="gramEnd"/>
      <w:r w:rsidRPr="008E5334">
        <w:rPr>
          <w:sz w:val="20"/>
          <w:lang w:val="en-US"/>
        </w:rPr>
        <w:t xml:space="preserve">: derit@ivanovoobl.ru, </w:t>
      </w:r>
      <w:hyperlink r:id="rId9" w:history="1">
        <w:r w:rsidRPr="008E5334">
          <w:rPr>
            <w:rStyle w:val="a9"/>
            <w:color w:val="000000"/>
            <w:sz w:val="20"/>
            <w:lang w:val="en-US"/>
          </w:rPr>
          <w:t>http://derit.ivanovoobl.ru</w:t>
        </w:r>
      </w:hyperlink>
    </w:p>
    <w:p w:rsidR="004F1C39" w:rsidRPr="008E5334" w:rsidRDefault="004F1C39">
      <w:pPr>
        <w:jc w:val="center"/>
        <w:rPr>
          <w:spacing w:val="32"/>
          <w:sz w:val="28"/>
          <w:lang w:val="en-US"/>
        </w:rPr>
      </w:pPr>
    </w:p>
    <w:p w:rsidR="004F1C39" w:rsidRDefault="005261EB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4F1C39" w:rsidRDefault="004F1C39">
      <w:pPr>
        <w:jc w:val="center"/>
        <w:rPr>
          <w:sz w:val="28"/>
        </w:rPr>
      </w:pPr>
    </w:p>
    <w:tbl>
      <w:tblPr>
        <w:tblStyle w:val="af6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77"/>
        <w:gridCol w:w="4786"/>
      </w:tblGrid>
      <w:tr w:rsidR="004F1C39"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4F1C39" w:rsidRDefault="005261EB">
            <w:pPr>
              <w:rPr>
                <w:sz w:val="28"/>
              </w:rPr>
            </w:pPr>
            <w:r>
              <w:rPr>
                <w:sz w:val="28"/>
              </w:rPr>
              <w:t>«____» ____________ 2024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1C39" w:rsidRDefault="005261EB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______-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</w:tr>
    </w:tbl>
    <w:p w:rsidR="004F1C39" w:rsidRDefault="004F1C39">
      <w:pPr>
        <w:jc w:val="center"/>
        <w:rPr>
          <w:sz w:val="28"/>
        </w:rPr>
      </w:pPr>
    </w:p>
    <w:p w:rsidR="004F1C39" w:rsidRDefault="004F1C39">
      <w:pPr>
        <w:jc w:val="center"/>
        <w:rPr>
          <w:sz w:val="28"/>
        </w:rPr>
      </w:pPr>
    </w:p>
    <w:tbl>
      <w:tblPr>
        <w:tblStyle w:val="af6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963"/>
      </w:tblGrid>
      <w:tr w:rsidR="004F1C39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4F1C39" w:rsidRDefault="005261EB">
            <w:pPr>
              <w:pStyle w:val="aa"/>
              <w:ind w:firstLine="0"/>
              <w:jc w:val="center"/>
              <w:rPr>
                <w:b/>
              </w:rPr>
            </w:pPr>
            <w:bookmarkStart w:id="0" w:name="_Hlk146033310"/>
            <w:r>
              <w:rPr>
                <w:b/>
              </w:rPr>
              <w:t xml:space="preserve">О внесении изменения в приказ Департамента экономического развития и торговли Ивановской области от 28.12.2022 № 57-п </w:t>
            </w:r>
            <w:r>
              <w:rPr>
                <w:b/>
              </w:rPr>
              <w:br/>
              <w:t>«О регламенте ведения Инвестиционной карты Ивановской области»</w:t>
            </w:r>
            <w:bookmarkEnd w:id="0"/>
          </w:p>
        </w:tc>
      </w:tr>
    </w:tbl>
    <w:p w:rsidR="004F1C39" w:rsidRDefault="004F1C39">
      <w:pPr>
        <w:jc w:val="center"/>
        <w:rPr>
          <w:sz w:val="28"/>
        </w:rPr>
      </w:pPr>
    </w:p>
    <w:p w:rsidR="004F1C39" w:rsidRDefault="004F1C39">
      <w:pPr>
        <w:jc w:val="center"/>
        <w:rPr>
          <w:sz w:val="28"/>
        </w:rPr>
      </w:pPr>
    </w:p>
    <w:p w:rsidR="004F1C39" w:rsidRDefault="005261EB">
      <w:pPr>
        <w:ind w:firstLine="709"/>
        <w:jc w:val="both"/>
        <w:rPr>
          <w:b/>
          <w:sz w:val="28"/>
        </w:rPr>
      </w:pPr>
      <w:proofErr w:type="gramStart"/>
      <w:r>
        <w:rPr>
          <w:sz w:val="28"/>
        </w:rPr>
        <w:t>В соответствии с приказом Министерства экономического развития Российской Федерации от 30.09.2021 № 591 «О системе поддержки новых инвестиционных проектов в субъектах Российской Федерации («Региональный инвестиционный стандарт»)», указом Губернатора Ивановской области от 20.12.2022 № 162-уг «Об определении исполнительного органа государственной власти Ивановской области, уполномоченного на формирование и ведение инвестиционной карты Ивановской области», во исполнение пунктов 2 и 6 раздела 2 Протокола совещания у</w:t>
      </w:r>
      <w:proofErr w:type="gramEnd"/>
      <w:r>
        <w:rPr>
          <w:sz w:val="28"/>
        </w:rPr>
        <w:t xml:space="preserve"> Первого заместителя Председателя Правительства Российской Федерации А.Р. Белоусова от 05.07.2023 № АБ-П13-110пр </w:t>
      </w:r>
      <w:r>
        <w:rPr>
          <w:sz w:val="28"/>
        </w:rPr>
        <w:br/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 ы в а ю:</w:t>
      </w:r>
    </w:p>
    <w:p w:rsidR="006A0524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 xml:space="preserve">1. Внести в приказ Департамента экономического развития </w:t>
      </w:r>
      <w:r>
        <w:br/>
      </w:r>
      <w:r>
        <w:rPr>
          <w:sz w:val="28"/>
        </w:rPr>
        <w:t>и торговли Ивановской области от 28.12.2022 № 57-п «О регламенте ведения Инвестици</w:t>
      </w:r>
      <w:r w:rsidR="006A0524">
        <w:rPr>
          <w:sz w:val="28"/>
        </w:rPr>
        <w:t>онной карты Ивановской области» следующие изменения:</w:t>
      </w:r>
    </w:p>
    <w:p w:rsidR="00C316CC" w:rsidRDefault="006A0524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 xml:space="preserve">1.1. Дополнить </w:t>
      </w:r>
      <w:r w:rsidR="005261EB">
        <w:rPr>
          <w:sz w:val="28"/>
        </w:rPr>
        <w:t>Регламент ведения инвестиционной карты</w:t>
      </w:r>
      <w:r>
        <w:rPr>
          <w:sz w:val="28"/>
        </w:rPr>
        <w:t xml:space="preserve"> Ивановской области  приложением</w:t>
      </w:r>
      <w:r w:rsidR="008E5334">
        <w:rPr>
          <w:sz w:val="28"/>
        </w:rPr>
        <w:t xml:space="preserve"> 4 «Порядок формирования и ведения Инвестиционной</w:t>
      </w:r>
      <w:r w:rsidR="00C316CC">
        <w:rPr>
          <w:sz w:val="28"/>
        </w:rPr>
        <w:t xml:space="preserve">        </w:t>
      </w:r>
      <w:r w:rsidR="008E5334">
        <w:rPr>
          <w:sz w:val="28"/>
        </w:rPr>
        <w:t xml:space="preserve"> карты</w:t>
      </w:r>
      <w:r w:rsidR="00C316CC">
        <w:rPr>
          <w:sz w:val="28"/>
        </w:rPr>
        <w:t xml:space="preserve">       </w:t>
      </w:r>
      <w:r w:rsidR="008E5334">
        <w:rPr>
          <w:sz w:val="28"/>
        </w:rPr>
        <w:t xml:space="preserve"> Ивановской </w:t>
      </w:r>
      <w:r w:rsidR="00C316CC">
        <w:rPr>
          <w:sz w:val="28"/>
        </w:rPr>
        <w:t xml:space="preserve">       </w:t>
      </w:r>
      <w:r w:rsidR="008E5334">
        <w:rPr>
          <w:sz w:val="28"/>
        </w:rPr>
        <w:t xml:space="preserve">области, </w:t>
      </w:r>
      <w:r w:rsidR="00C316CC">
        <w:rPr>
          <w:sz w:val="28"/>
        </w:rPr>
        <w:t xml:space="preserve">      </w:t>
      </w:r>
      <w:r w:rsidR="008E5334">
        <w:rPr>
          <w:sz w:val="28"/>
        </w:rPr>
        <w:t xml:space="preserve">размещенной </w:t>
      </w:r>
    </w:p>
    <w:p w:rsidR="006A0524" w:rsidRDefault="008E5334" w:rsidP="00C316CC">
      <w:pPr>
        <w:tabs>
          <w:tab w:val="left" w:pos="822"/>
        </w:tabs>
        <w:jc w:val="both"/>
        <w:rPr>
          <w:sz w:val="28"/>
        </w:rPr>
      </w:pPr>
      <w:r>
        <w:rPr>
          <w:sz w:val="28"/>
        </w:rPr>
        <w:t xml:space="preserve">на инвестиционной карте Российской Федерации» </w:t>
      </w:r>
      <w:r w:rsidR="006A0524">
        <w:rPr>
          <w:sz w:val="28"/>
        </w:rPr>
        <w:t>согласно приложению 1 к настоящему приказу.</w:t>
      </w:r>
    </w:p>
    <w:p w:rsidR="004F1C39" w:rsidRDefault="006A0524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>1.2</w:t>
      </w:r>
      <w:r w:rsidR="00AB321E">
        <w:rPr>
          <w:sz w:val="28"/>
        </w:rPr>
        <w:t>.</w:t>
      </w:r>
      <w:r>
        <w:rPr>
          <w:sz w:val="28"/>
        </w:rPr>
        <w:t xml:space="preserve"> Дополнить Регламент ведения инвестиционной карты Ивановской области  приложением</w:t>
      </w:r>
      <w:r w:rsidR="005261EB">
        <w:rPr>
          <w:sz w:val="28"/>
        </w:rPr>
        <w:t xml:space="preserve"> 5 «Порядок обработки обращений внешних пользователей Инвестиционной карты Ивановской области, </w:t>
      </w:r>
      <w:r w:rsidR="005261EB">
        <w:rPr>
          <w:sz w:val="28"/>
        </w:rPr>
        <w:lastRenderedPageBreak/>
        <w:t>размещенной на инвестиционной карте Российско</w:t>
      </w:r>
      <w:r w:rsidR="008E5334">
        <w:rPr>
          <w:sz w:val="28"/>
        </w:rPr>
        <w:t>й</w:t>
      </w:r>
      <w:r>
        <w:rPr>
          <w:sz w:val="28"/>
        </w:rPr>
        <w:t xml:space="preserve"> Федерации» согласно приложению 2</w:t>
      </w:r>
      <w:r w:rsidR="005261EB">
        <w:rPr>
          <w:sz w:val="28"/>
        </w:rPr>
        <w:t xml:space="preserve"> к настоящему приказу.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>2. Управлению промышленности и инвестиций Департамента экономического развития и торговли Ивановской области обеспечить направление настоящего приказа: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 xml:space="preserve">- на официальное опубликование в установленном </w:t>
      </w: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>;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>- в Ивановскую областную Думу;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 xml:space="preserve">- в Управление Министерства юстиции Российской Федерации </w:t>
      </w:r>
      <w:r>
        <w:br/>
      </w:r>
      <w:r>
        <w:rPr>
          <w:sz w:val="28"/>
        </w:rPr>
        <w:t xml:space="preserve">по Ивановской области для проведения правовой экспертизы </w:t>
      </w:r>
      <w:r>
        <w:br/>
      </w:r>
      <w:r>
        <w:rPr>
          <w:sz w:val="28"/>
        </w:rPr>
        <w:t>и включения в федеральный регистр нормативных правовых актов субъектов Российской Федерации.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>3. Настоящий приказ вступает в силу с момента его официального опубликования.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>4. Контроль исполнения настоящего приказа возложить на первого заместителя директора Департамента экономического развития и торговли Ивановской области – статс-секретаря О.С. Шереметьеву.</w:t>
      </w:r>
    </w:p>
    <w:p w:rsidR="004F1C39" w:rsidRDefault="004F1C39">
      <w:pPr>
        <w:tabs>
          <w:tab w:val="left" w:pos="822"/>
        </w:tabs>
        <w:jc w:val="both"/>
        <w:rPr>
          <w:sz w:val="28"/>
        </w:rPr>
      </w:pPr>
    </w:p>
    <w:p w:rsidR="004F1C39" w:rsidRDefault="004F1C39">
      <w:pPr>
        <w:tabs>
          <w:tab w:val="left" w:pos="822"/>
        </w:tabs>
        <w:jc w:val="both"/>
        <w:rPr>
          <w:sz w:val="28"/>
        </w:rPr>
      </w:pPr>
    </w:p>
    <w:p w:rsidR="004F1C39" w:rsidRDefault="004F1C39">
      <w:pPr>
        <w:rPr>
          <w:sz w:val="28"/>
        </w:rPr>
      </w:pPr>
    </w:p>
    <w:p w:rsidR="004F1C39" w:rsidRDefault="005261EB">
      <w:pPr>
        <w:rPr>
          <w:b/>
          <w:sz w:val="28"/>
        </w:rPr>
      </w:pPr>
      <w:r>
        <w:rPr>
          <w:b/>
          <w:sz w:val="28"/>
        </w:rPr>
        <w:t>Член Правительства</w:t>
      </w:r>
    </w:p>
    <w:p w:rsidR="004F1C39" w:rsidRDefault="005261EB">
      <w:pPr>
        <w:rPr>
          <w:b/>
          <w:sz w:val="28"/>
        </w:rPr>
      </w:pPr>
      <w:r>
        <w:rPr>
          <w:b/>
          <w:sz w:val="28"/>
        </w:rPr>
        <w:t>Ивановской области –</w:t>
      </w:r>
    </w:p>
    <w:p w:rsidR="004F1C39" w:rsidRDefault="005261EB">
      <w:pPr>
        <w:tabs>
          <w:tab w:val="left" w:pos="5382"/>
        </w:tabs>
        <w:rPr>
          <w:b/>
          <w:sz w:val="28"/>
        </w:rPr>
      </w:pPr>
      <w:r>
        <w:rPr>
          <w:b/>
          <w:sz w:val="28"/>
        </w:rPr>
        <w:t>директор Департамента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Д.К. </w:t>
      </w:r>
      <w:proofErr w:type="spellStart"/>
      <w:r>
        <w:rPr>
          <w:b/>
          <w:sz w:val="28"/>
        </w:rPr>
        <w:t>Тугушев</w:t>
      </w:r>
      <w:proofErr w:type="spellEnd"/>
    </w:p>
    <w:p w:rsidR="004F1C39" w:rsidRDefault="004F1C39">
      <w:pPr>
        <w:jc w:val="right"/>
        <w:outlineLvl w:val="0"/>
        <w:rPr>
          <w:sz w:val="28"/>
        </w:rPr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Default="000E1B09">
      <w:pPr>
        <w:outlineLvl w:val="0"/>
      </w:pPr>
    </w:p>
    <w:p w:rsidR="000E1B09" w:rsidRPr="00AD056E" w:rsidRDefault="000E1B09" w:rsidP="000E1B09">
      <w:pPr>
        <w:jc w:val="right"/>
        <w:outlineLvl w:val="0"/>
        <w:rPr>
          <w:sz w:val="28"/>
        </w:rPr>
      </w:pPr>
      <w:r w:rsidRPr="00AD056E">
        <w:rPr>
          <w:sz w:val="28"/>
        </w:rPr>
        <w:t>Приложение</w:t>
      </w:r>
      <w:r w:rsidR="00AB321E">
        <w:rPr>
          <w:sz w:val="28"/>
        </w:rPr>
        <w:t xml:space="preserve"> 1</w:t>
      </w:r>
    </w:p>
    <w:p w:rsidR="000E1B09" w:rsidRPr="00AD056E" w:rsidRDefault="000E1B09" w:rsidP="000E1B09">
      <w:pPr>
        <w:jc w:val="right"/>
        <w:rPr>
          <w:sz w:val="28"/>
        </w:rPr>
      </w:pPr>
      <w:r w:rsidRPr="00AD056E">
        <w:rPr>
          <w:sz w:val="28"/>
        </w:rPr>
        <w:t>к приказу</w:t>
      </w:r>
    </w:p>
    <w:p w:rsidR="000E1B09" w:rsidRPr="00AD056E" w:rsidRDefault="000E1B09" w:rsidP="000E1B09">
      <w:pPr>
        <w:jc w:val="right"/>
        <w:rPr>
          <w:sz w:val="28"/>
        </w:rPr>
      </w:pPr>
      <w:r w:rsidRPr="00AD056E">
        <w:rPr>
          <w:sz w:val="28"/>
        </w:rPr>
        <w:t>Департамента</w:t>
      </w:r>
    </w:p>
    <w:p w:rsidR="000E1B09" w:rsidRPr="00AD056E" w:rsidRDefault="000E1B09" w:rsidP="000E1B09">
      <w:pPr>
        <w:jc w:val="right"/>
        <w:rPr>
          <w:sz w:val="28"/>
        </w:rPr>
      </w:pPr>
      <w:r w:rsidRPr="00AD056E">
        <w:rPr>
          <w:sz w:val="28"/>
        </w:rPr>
        <w:t>экономического развития и торговли</w:t>
      </w:r>
    </w:p>
    <w:p w:rsidR="000E1B09" w:rsidRPr="00AD056E" w:rsidRDefault="000E1B09" w:rsidP="000E1B09">
      <w:pPr>
        <w:jc w:val="right"/>
        <w:rPr>
          <w:sz w:val="28"/>
        </w:rPr>
      </w:pPr>
      <w:r w:rsidRPr="00AD056E">
        <w:rPr>
          <w:sz w:val="28"/>
        </w:rPr>
        <w:t>Ивановской области</w:t>
      </w:r>
    </w:p>
    <w:p w:rsidR="000E1B09" w:rsidRPr="00AD056E" w:rsidRDefault="000E1B09" w:rsidP="000E1B09">
      <w:pPr>
        <w:tabs>
          <w:tab w:val="left" w:pos="822"/>
        </w:tabs>
        <w:ind w:firstLine="746"/>
        <w:jc w:val="right"/>
        <w:rPr>
          <w:sz w:val="28"/>
        </w:rPr>
      </w:pPr>
      <w:r w:rsidRPr="00AD056E">
        <w:rPr>
          <w:sz w:val="28"/>
        </w:rPr>
        <w:t xml:space="preserve">от </w:t>
      </w:r>
      <w:r w:rsidRPr="00AD056E">
        <w:t>_________________</w:t>
      </w:r>
      <w:r w:rsidRPr="00AD056E">
        <w:rPr>
          <w:sz w:val="28"/>
        </w:rPr>
        <w:t xml:space="preserve"> № </w:t>
      </w:r>
      <w:r w:rsidRPr="00AD056E">
        <w:t>___</w:t>
      </w:r>
      <w:proofErr w:type="gramStart"/>
      <w:r w:rsidRPr="00AD056E">
        <w:t>_</w:t>
      </w:r>
      <w:r w:rsidRPr="00AD056E">
        <w:rPr>
          <w:sz w:val="28"/>
        </w:rPr>
        <w:t>-</w:t>
      </w:r>
      <w:proofErr w:type="gramEnd"/>
      <w:r w:rsidRPr="00AD056E">
        <w:rPr>
          <w:sz w:val="28"/>
        </w:rPr>
        <w:t>п</w:t>
      </w:r>
    </w:p>
    <w:p w:rsidR="000E1B09" w:rsidRPr="00AD056E" w:rsidRDefault="000E1B09" w:rsidP="000E1B09">
      <w:pPr>
        <w:tabs>
          <w:tab w:val="left" w:pos="822"/>
        </w:tabs>
        <w:ind w:firstLine="746"/>
        <w:jc w:val="right"/>
        <w:rPr>
          <w:sz w:val="28"/>
        </w:rPr>
      </w:pPr>
    </w:p>
    <w:p w:rsidR="000E1B09" w:rsidRPr="00AD056E" w:rsidRDefault="000E1B09" w:rsidP="000E1B09">
      <w:pPr>
        <w:jc w:val="right"/>
        <w:outlineLvl w:val="0"/>
        <w:rPr>
          <w:sz w:val="28"/>
        </w:rPr>
      </w:pPr>
      <w:r w:rsidRPr="00AD056E">
        <w:rPr>
          <w:sz w:val="28"/>
        </w:rPr>
        <w:t>Приложение 4</w:t>
      </w:r>
    </w:p>
    <w:p w:rsidR="000E1B09" w:rsidRPr="00AD056E" w:rsidRDefault="000E1B09" w:rsidP="000E1B0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D056E">
        <w:rPr>
          <w:rFonts w:eastAsiaTheme="minorHAnsi"/>
          <w:sz w:val="28"/>
          <w:szCs w:val="28"/>
          <w:lang w:eastAsia="en-US"/>
        </w:rPr>
        <w:t>к Регламенту</w:t>
      </w:r>
    </w:p>
    <w:p w:rsidR="000E1B09" w:rsidRPr="00AD056E" w:rsidRDefault="000E1B09" w:rsidP="000E1B0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D056E">
        <w:rPr>
          <w:rFonts w:eastAsiaTheme="minorHAnsi"/>
          <w:sz w:val="28"/>
          <w:szCs w:val="28"/>
          <w:lang w:eastAsia="en-US"/>
        </w:rPr>
        <w:t>ведения Инвестиционной карты</w:t>
      </w:r>
    </w:p>
    <w:p w:rsidR="000E1B09" w:rsidRPr="00AD056E" w:rsidRDefault="000E1B09" w:rsidP="000E1B09">
      <w:pPr>
        <w:tabs>
          <w:tab w:val="left" w:pos="822"/>
        </w:tabs>
        <w:ind w:firstLine="746"/>
        <w:jc w:val="right"/>
        <w:rPr>
          <w:sz w:val="28"/>
        </w:rPr>
      </w:pPr>
      <w:r w:rsidRPr="00AD056E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0E1B09" w:rsidRPr="00AD056E" w:rsidRDefault="000E1B09" w:rsidP="000E1B09">
      <w:pPr>
        <w:tabs>
          <w:tab w:val="left" w:pos="822"/>
        </w:tabs>
        <w:ind w:firstLine="746"/>
        <w:jc w:val="right"/>
        <w:rPr>
          <w:sz w:val="28"/>
          <w:szCs w:val="28"/>
        </w:rPr>
      </w:pPr>
    </w:p>
    <w:p w:rsidR="000E1B09" w:rsidRPr="00AD056E" w:rsidRDefault="000E1B09" w:rsidP="000E1B09">
      <w:pPr>
        <w:tabs>
          <w:tab w:val="left" w:pos="822"/>
        </w:tabs>
        <w:jc w:val="center"/>
        <w:rPr>
          <w:b/>
          <w:bCs/>
          <w:sz w:val="28"/>
          <w:szCs w:val="28"/>
        </w:rPr>
      </w:pPr>
      <w:proofErr w:type="gramStart"/>
      <w:r w:rsidRPr="00AD056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AD056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AD056E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AD056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AD056E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</w:t>
      </w:r>
      <w:r w:rsidRPr="00AD056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AD056E">
        <w:rPr>
          <w:b/>
          <w:bCs/>
          <w:sz w:val="28"/>
          <w:szCs w:val="28"/>
        </w:rPr>
        <w:t>К</w:t>
      </w:r>
    </w:p>
    <w:p w:rsidR="000E1B09" w:rsidRPr="00AD056E" w:rsidRDefault="000E1B09" w:rsidP="000E1B09">
      <w:pPr>
        <w:tabs>
          <w:tab w:val="left" w:pos="822"/>
        </w:tabs>
        <w:jc w:val="center"/>
        <w:rPr>
          <w:b/>
          <w:bCs/>
          <w:sz w:val="28"/>
          <w:szCs w:val="28"/>
        </w:rPr>
      </w:pPr>
      <w:r w:rsidRPr="00AD056E">
        <w:rPr>
          <w:b/>
          <w:bCs/>
          <w:sz w:val="28"/>
          <w:szCs w:val="28"/>
        </w:rPr>
        <w:t>формирования и ведения Инвестиционной карты</w:t>
      </w:r>
      <w:r>
        <w:rPr>
          <w:b/>
          <w:bCs/>
          <w:sz w:val="28"/>
          <w:szCs w:val="28"/>
        </w:rPr>
        <w:t xml:space="preserve"> Ивановской области</w:t>
      </w:r>
      <w:r w:rsidRPr="00AD056E">
        <w:rPr>
          <w:b/>
          <w:bCs/>
          <w:sz w:val="28"/>
          <w:szCs w:val="28"/>
        </w:rPr>
        <w:t>, размещенной на инвестиционной карте Российской Федерации</w:t>
      </w:r>
    </w:p>
    <w:p w:rsidR="000E1B09" w:rsidRPr="00AD056E" w:rsidRDefault="000E1B09" w:rsidP="000E1B09">
      <w:pPr>
        <w:tabs>
          <w:tab w:val="left" w:pos="822"/>
        </w:tabs>
        <w:jc w:val="center"/>
        <w:rPr>
          <w:sz w:val="28"/>
          <w:szCs w:val="28"/>
        </w:rPr>
      </w:pPr>
    </w:p>
    <w:p w:rsidR="000E1B09" w:rsidRPr="00AD056E" w:rsidRDefault="000E1B09" w:rsidP="000E1B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Настоящий П</w:t>
      </w:r>
      <w:r w:rsidRPr="00AD056E">
        <w:rPr>
          <w:sz w:val="28"/>
          <w:szCs w:val="28"/>
        </w:rPr>
        <w:t xml:space="preserve">орядок определяет сроки и формат систематического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органами государственной власти и организациями Ивановской области, ответственными за наполнение и актуализацию слоев Инвестиционной карты (далее – ответственные организации), </w:t>
      </w:r>
      <w:r w:rsidRPr="00AD056E">
        <w:rPr>
          <w:sz w:val="28"/>
          <w:szCs w:val="28"/>
        </w:rPr>
        <w:t>Министерству экономического развития Российской Федерации (далее – Минэкономразвития России) сведений для наполнения и актуализации Инвестиционной карты, размещенной на инвестиционной карте Российской Федерации.</w:t>
      </w:r>
    </w:p>
    <w:p w:rsidR="000E1B09" w:rsidRPr="00AD056E" w:rsidRDefault="000E1B09" w:rsidP="000E1B09">
      <w:pPr>
        <w:tabs>
          <w:tab w:val="left" w:pos="822"/>
        </w:tabs>
        <w:ind w:firstLine="709"/>
        <w:jc w:val="both"/>
        <w:rPr>
          <w:sz w:val="28"/>
          <w:szCs w:val="28"/>
        </w:rPr>
      </w:pPr>
      <w:r w:rsidRPr="00AD056E">
        <w:rPr>
          <w:sz w:val="28"/>
          <w:szCs w:val="28"/>
        </w:rPr>
        <w:t xml:space="preserve">2. </w:t>
      </w:r>
      <w:proofErr w:type="gramStart"/>
      <w:r w:rsidRPr="00AD056E">
        <w:rPr>
          <w:sz w:val="28"/>
          <w:szCs w:val="28"/>
        </w:rPr>
        <w:t xml:space="preserve">В качестве источников автоматизированной загрузки сведений при формировании Инвестиционной карты, размещенной на инвестиционной карте Российской Федерации, используются данные, размещенные </w:t>
      </w:r>
      <w:r w:rsidR="0038246D">
        <w:rPr>
          <w:sz w:val="28"/>
          <w:szCs w:val="28"/>
        </w:rPr>
        <w:t xml:space="preserve">                     </w:t>
      </w:r>
      <w:r w:rsidRPr="00AD056E">
        <w:rPr>
          <w:sz w:val="28"/>
          <w:szCs w:val="28"/>
        </w:rPr>
        <w:t>на Инвестиционной карте, иная информация, полученная от</w:t>
      </w:r>
      <w:r>
        <w:rPr>
          <w:sz w:val="28"/>
          <w:szCs w:val="28"/>
        </w:rPr>
        <w:t xml:space="preserve"> ответственных организаций</w:t>
      </w:r>
      <w:r w:rsidRPr="00AD056E">
        <w:rPr>
          <w:sz w:val="28"/>
          <w:szCs w:val="28"/>
        </w:rPr>
        <w:t>, и, при наличии технической возможности, информационные системы федеральных органов исполнительной власти.</w:t>
      </w:r>
      <w:proofErr w:type="gramEnd"/>
    </w:p>
    <w:p w:rsidR="000E1B09" w:rsidRDefault="000E1B09" w:rsidP="000E1B09">
      <w:pPr>
        <w:tabs>
          <w:tab w:val="left" w:pos="822"/>
        </w:tabs>
        <w:ind w:firstLine="746"/>
        <w:jc w:val="both"/>
        <w:rPr>
          <w:sz w:val="28"/>
          <w:szCs w:val="28"/>
        </w:rPr>
      </w:pPr>
      <w:r w:rsidRPr="00AD056E">
        <w:rPr>
          <w:sz w:val="28"/>
          <w:szCs w:val="28"/>
        </w:rPr>
        <w:t xml:space="preserve">3. Информационное наполнение Инвестиционной карты, размещенной на инвестиционной карте Российской Федерации, осуществляется в ручном режиме в подсистеме ведения реестров и сбора форм </w:t>
      </w:r>
      <w:r>
        <w:rPr>
          <w:sz w:val="28"/>
          <w:szCs w:val="28"/>
        </w:rPr>
        <w:t xml:space="preserve">   </w:t>
      </w:r>
      <w:r w:rsidRPr="00AD056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    </w:t>
      </w:r>
      <w:r w:rsidRPr="00AD056E">
        <w:rPr>
          <w:sz w:val="28"/>
          <w:szCs w:val="28"/>
        </w:rPr>
        <w:t xml:space="preserve"> информационной </w:t>
      </w:r>
      <w:r>
        <w:rPr>
          <w:sz w:val="28"/>
          <w:szCs w:val="28"/>
        </w:rPr>
        <w:t xml:space="preserve">    </w:t>
      </w:r>
      <w:r w:rsidRPr="00AD056E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AD0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D056E">
        <w:rPr>
          <w:sz w:val="28"/>
          <w:szCs w:val="28"/>
        </w:rPr>
        <w:t xml:space="preserve">«Экономика» </w:t>
      </w:r>
    </w:p>
    <w:p w:rsidR="000E1B09" w:rsidRPr="00AD056E" w:rsidRDefault="000E1B09" w:rsidP="000E1B09">
      <w:pPr>
        <w:tabs>
          <w:tab w:val="left" w:pos="822"/>
        </w:tabs>
        <w:jc w:val="both"/>
        <w:rPr>
          <w:sz w:val="28"/>
          <w:szCs w:val="28"/>
        </w:rPr>
      </w:pPr>
      <w:r w:rsidRPr="00AD056E">
        <w:rPr>
          <w:sz w:val="28"/>
          <w:szCs w:val="28"/>
        </w:rPr>
        <w:t>(далее – ГИС «Экономика»).</w:t>
      </w:r>
    </w:p>
    <w:p w:rsidR="000E1B09" w:rsidRPr="00AD056E" w:rsidRDefault="000E1B09" w:rsidP="000E1B09">
      <w:pPr>
        <w:tabs>
          <w:tab w:val="left" w:pos="822"/>
        </w:tabs>
        <w:ind w:firstLine="746"/>
        <w:jc w:val="both"/>
        <w:rPr>
          <w:sz w:val="28"/>
          <w:szCs w:val="28"/>
        </w:rPr>
      </w:pPr>
      <w:r w:rsidRPr="00AD056E">
        <w:rPr>
          <w:sz w:val="28"/>
          <w:szCs w:val="28"/>
        </w:rPr>
        <w:t>При наличии технической возможности информационное наполнение Инвестиционной карты, размещенной на инвестиционной карте Российской Федерации, осуществляется в автоматическом режиме.</w:t>
      </w:r>
    </w:p>
    <w:p w:rsidR="000E1B09" w:rsidRPr="00AD056E" w:rsidRDefault="000E1B09" w:rsidP="000E1B09">
      <w:pPr>
        <w:tabs>
          <w:tab w:val="left" w:pos="822"/>
        </w:tabs>
        <w:ind w:firstLine="746"/>
        <w:jc w:val="both"/>
        <w:rPr>
          <w:sz w:val="28"/>
          <w:szCs w:val="28"/>
        </w:rPr>
      </w:pPr>
      <w:r w:rsidRPr="00AD056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Ответственные организации </w:t>
      </w:r>
      <w:r w:rsidRPr="00AD056E">
        <w:rPr>
          <w:sz w:val="28"/>
          <w:szCs w:val="28"/>
        </w:rPr>
        <w:t>при формировании Инвестиционной карты, размещенной на инвестиционной карте Российской Федерации:</w:t>
      </w:r>
    </w:p>
    <w:p w:rsidR="000E1B09" w:rsidRPr="00AD056E" w:rsidRDefault="000E1B09" w:rsidP="000E1B09">
      <w:pPr>
        <w:tabs>
          <w:tab w:val="left" w:pos="822"/>
        </w:tabs>
        <w:ind w:firstLine="746"/>
        <w:jc w:val="both"/>
        <w:rPr>
          <w:sz w:val="28"/>
          <w:szCs w:val="28"/>
        </w:rPr>
      </w:pPr>
      <w:r w:rsidRPr="00AD056E">
        <w:rPr>
          <w:sz w:val="28"/>
          <w:szCs w:val="28"/>
        </w:rPr>
        <w:t xml:space="preserve">- осуществляют информационное наполнение Инвестиционной карты, размещенной на инвестиционной карте Российской Федерации, путем внесения информации в ГИС «Экономика», в том числе </w:t>
      </w:r>
      <w:r w:rsidR="0038246D">
        <w:rPr>
          <w:sz w:val="28"/>
          <w:szCs w:val="28"/>
        </w:rPr>
        <w:t xml:space="preserve">                           </w:t>
      </w:r>
      <w:r w:rsidRPr="00AD056E">
        <w:rPr>
          <w:sz w:val="28"/>
          <w:szCs w:val="28"/>
        </w:rPr>
        <w:lastRenderedPageBreak/>
        <w:t>по атрибутивному составу карточек следующих объектов: «Деловое окружение», «</w:t>
      </w:r>
      <w:proofErr w:type="spellStart"/>
      <w:r w:rsidRPr="00AD056E">
        <w:rPr>
          <w:sz w:val="28"/>
          <w:szCs w:val="28"/>
        </w:rPr>
        <w:t>Инвестплощадки</w:t>
      </w:r>
      <w:proofErr w:type="spellEnd"/>
      <w:r w:rsidRPr="00AD056E">
        <w:rPr>
          <w:sz w:val="28"/>
          <w:szCs w:val="28"/>
        </w:rPr>
        <w:t>», «Аналитика региона», «Полезные ископаемые», «Региональные меры поддержки»;</w:t>
      </w:r>
    </w:p>
    <w:p w:rsidR="000E1B09" w:rsidRPr="00AD056E" w:rsidRDefault="000E1B09" w:rsidP="000E1B09">
      <w:pPr>
        <w:tabs>
          <w:tab w:val="left" w:pos="822"/>
        </w:tabs>
        <w:ind w:firstLine="746"/>
        <w:jc w:val="both"/>
        <w:rPr>
          <w:sz w:val="28"/>
          <w:szCs w:val="28"/>
        </w:rPr>
      </w:pPr>
      <w:r w:rsidRPr="00AD056E">
        <w:rPr>
          <w:sz w:val="28"/>
          <w:szCs w:val="28"/>
        </w:rPr>
        <w:t>- осуществляют</w:t>
      </w:r>
      <w:r w:rsidRPr="00D315AC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Pr="00AD056E">
        <w:rPr>
          <w:sz w:val="28"/>
          <w:szCs w:val="28"/>
        </w:rPr>
        <w:t xml:space="preserve"> с федеральными органами исполнительной власти </w:t>
      </w:r>
      <w:r>
        <w:rPr>
          <w:sz w:val="28"/>
          <w:szCs w:val="28"/>
        </w:rPr>
        <w:t xml:space="preserve">для </w:t>
      </w:r>
      <w:r w:rsidRPr="00AD056E">
        <w:rPr>
          <w:sz w:val="28"/>
          <w:szCs w:val="28"/>
        </w:rPr>
        <w:t>сбор</w:t>
      </w:r>
      <w:r>
        <w:rPr>
          <w:sz w:val="28"/>
          <w:szCs w:val="28"/>
        </w:rPr>
        <w:t>а</w:t>
      </w:r>
      <w:r w:rsidRPr="00AD056E">
        <w:rPr>
          <w:sz w:val="28"/>
          <w:szCs w:val="28"/>
        </w:rPr>
        <w:t xml:space="preserve"> информации, обеспечивают верификацию сведений, предоставляемых на Инвестиционную карту, размещенную на инвестиционной карте Российской Федерации, </w:t>
      </w:r>
      <w:r w:rsidR="0038246D">
        <w:rPr>
          <w:sz w:val="28"/>
          <w:szCs w:val="28"/>
        </w:rPr>
        <w:t xml:space="preserve">                         </w:t>
      </w:r>
      <w:r w:rsidRPr="00AD056E">
        <w:rPr>
          <w:sz w:val="28"/>
          <w:szCs w:val="28"/>
        </w:rPr>
        <w:t>из внешних источников в</w:t>
      </w:r>
      <w:r>
        <w:rPr>
          <w:sz w:val="28"/>
          <w:szCs w:val="28"/>
        </w:rPr>
        <w:t xml:space="preserve"> пределах своей компетенции</w:t>
      </w:r>
      <w:r w:rsidRPr="00AD056E">
        <w:rPr>
          <w:sz w:val="28"/>
          <w:szCs w:val="28"/>
        </w:rPr>
        <w:t>;</w:t>
      </w:r>
    </w:p>
    <w:p w:rsidR="000E1B09" w:rsidRPr="00AD056E" w:rsidRDefault="000E1B09" w:rsidP="000E1B09">
      <w:pPr>
        <w:tabs>
          <w:tab w:val="left" w:pos="822"/>
        </w:tabs>
        <w:ind w:firstLine="746"/>
        <w:jc w:val="both"/>
        <w:rPr>
          <w:sz w:val="28"/>
          <w:szCs w:val="28"/>
        </w:rPr>
      </w:pPr>
      <w:r w:rsidRPr="00AD056E">
        <w:rPr>
          <w:sz w:val="28"/>
          <w:szCs w:val="28"/>
        </w:rPr>
        <w:t xml:space="preserve">- осуществляют </w:t>
      </w:r>
      <w:r>
        <w:rPr>
          <w:sz w:val="28"/>
          <w:szCs w:val="28"/>
        </w:rPr>
        <w:t xml:space="preserve">ежеквартально </w:t>
      </w:r>
      <w:r w:rsidRPr="00AD056E">
        <w:rPr>
          <w:sz w:val="28"/>
          <w:szCs w:val="28"/>
        </w:rPr>
        <w:t xml:space="preserve">мониторинг и актуализацию сведений, внесенных в ГИС «Экономика» для отображения </w:t>
      </w:r>
      <w:r w:rsidR="0038246D">
        <w:rPr>
          <w:sz w:val="28"/>
          <w:szCs w:val="28"/>
        </w:rPr>
        <w:t xml:space="preserve">                                </w:t>
      </w:r>
      <w:r w:rsidRPr="00AD056E">
        <w:rPr>
          <w:sz w:val="28"/>
          <w:szCs w:val="28"/>
        </w:rPr>
        <w:t>на Инвестиционной карте, размещенной на инвестиционной карте Российской Федерации, не позднее 25 числа последнего месяца квартала;</w:t>
      </w:r>
    </w:p>
    <w:p w:rsidR="000E1B09" w:rsidRPr="00AD056E" w:rsidRDefault="000E1B09" w:rsidP="000E1B09">
      <w:pPr>
        <w:tabs>
          <w:tab w:val="left" w:pos="822"/>
        </w:tabs>
        <w:ind w:firstLine="746"/>
        <w:jc w:val="both"/>
        <w:rPr>
          <w:sz w:val="28"/>
          <w:szCs w:val="28"/>
        </w:rPr>
      </w:pPr>
      <w:r w:rsidRPr="00AD056E">
        <w:rPr>
          <w:sz w:val="28"/>
          <w:szCs w:val="28"/>
        </w:rPr>
        <w:t xml:space="preserve">- по результатам мониторинга и актуализации соответствующих сведений направляют в адрес Минэкономразвития России письмо </w:t>
      </w:r>
      <w:r w:rsidR="0038246D">
        <w:rPr>
          <w:sz w:val="28"/>
          <w:szCs w:val="28"/>
        </w:rPr>
        <w:t xml:space="preserve">                       </w:t>
      </w:r>
      <w:r w:rsidRPr="00AD056E">
        <w:rPr>
          <w:sz w:val="28"/>
          <w:szCs w:val="28"/>
        </w:rPr>
        <w:t>с указанием перечня показателей, обновленных по результатам мониторинга.</w:t>
      </w:r>
    </w:p>
    <w:p w:rsidR="000E1B09" w:rsidRPr="00AD056E" w:rsidRDefault="000E1B09" w:rsidP="000E1B09">
      <w:pPr>
        <w:ind w:firstLine="709"/>
        <w:jc w:val="both"/>
        <w:rPr>
          <w:sz w:val="28"/>
          <w:szCs w:val="28"/>
        </w:rPr>
      </w:pPr>
      <w:r w:rsidRPr="00AD056E">
        <w:rPr>
          <w:sz w:val="28"/>
          <w:szCs w:val="28"/>
        </w:rPr>
        <w:t xml:space="preserve">5. Формирование и ведение Инвестиционной карты, размещенной на инвестиционной карте Российской Федерации, осуществляется </w:t>
      </w:r>
      <w:r w:rsidR="0038246D">
        <w:rPr>
          <w:sz w:val="28"/>
          <w:szCs w:val="28"/>
        </w:rPr>
        <w:t xml:space="preserve">                           </w:t>
      </w:r>
      <w:r w:rsidRPr="00AD056E">
        <w:rPr>
          <w:sz w:val="28"/>
          <w:szCs w:val="28"/>
        </w:rPr>
        <w:t>с соблюдением</w:t>
      </w:r>
      <w:r>
        <w:rPr>
          <w:sz w:val="28"/>
          <w:szCs w:val="28"/>
        </w:rPr>
        <w:t xml:space="preserve"> действующего</w:t>
      </w:r>
      <w:r w:rsidRPr="00AD056E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>.</w:t>
      </w:r>
    </w:p>
    <w:p w:rsidR="000E1B09" w:rsidRPr="00AD056E" w:rsidRDefault="000E1B09" w:rsidP="000E1B09">
      <w:pPr>
        <w:ind w:firstLine="709"/>
        <w:jc w:val="both"/>
        <w:rPr>
          <w:sz w:val="28"/>
          <w:szCs w:val="28"/>
        </w:rPr>
      </w:pPr>
      <w:r w:rsidRPr="00AD056E">
        <w:rPr>
          <w:sz w:val="28"/>
          <w:szCs w:val="28"/>
        </w:rPr>
        <w:t>6. Доступ к сведениям, содержащимся в Инвестиционной карте, размещенной на инвестиционной карте Российской Федерации, осуществляется на безвозмездной основе.</w:t>
      </w:r>
    </w:p>
    <w:p w:rsidR="004F1C39" w:rsidRDefault="005261EB">
      <w:pPr>
        <w:outlineLvl w:val="0"/>
        <w:rPr>
          <w:sz w:val="28"/>
        </w:rPr>
      </w:pPr>
      <w:r>
        <w:br w:type="page"/>
      </w:r>
    </w:p>
    <w:p w:rsidR="004F1C39" w:rsidRDefault="005261EB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  <w:r w:rsidR="009E5218">
        <w:rPr>
          <w:sz w:val="28"/>
        </w:rPr>
        <w:t xml:space="preserve"> 2</w:t>
      </w:r>
    </w:p>
    <w:p w:rsidR="004F1C39" w:rsidRDefault="005261EB">
      <w:pPr>
        <w:jc w:val="right"/>
        <w:rPr>
          <w:sz w:val="28"/>
        </w:rPr>
      </w:pPr>
      <w:r>
        <w:rPr>
          <w:sz w:val="28"/>
        </w:rPr>
        <w:t>к приказу</w:t>
      </w:r>
    </w:p>
    <w:p w:rsidR="004F1C39" w:rsidRDefault="005261EB">
      <w:pPr>
        <w:jc w:val="right"/>
        <w:rPr>
          <w:sz w:val="28"/>
        </w:rPr>
      </w:pPr>
      <w:r>
        <w:rPr>
          <w:sz w:val="28"/>
        </w:rPr>
        <w:t>Департамента</w:t>
      </w:r>
    </w:p>
    <w:p w:rsidR="004F1C39" w:rsidRDefault="005261EB">
      <w:pPr>
        <w:jc w:val="right"/>
        <w:rPr>
          <w:sz w:val="28"/>
        </w:rPr>
      </w:pPr>
      <w:r>
        <w:rPr>
          <w:sz w:val="28"/>
        </w:rPr>
        <w:t>экономического развития и торговли</w:t>
      </w:r>
    </w:p>
    <w:p w:rsidR="004F1C39" w:rsidRDefault="005261EB">
      <w:pPr>
        <w:jc w:val="right"/>
        <w:rPr>
          <w:sz w:val="28"/>
        </w:rPr>
      </w:pPr>
      <w:r>
        <w:rPr>
          <w:sz w:val="28"/>
        </w:rPr>
        <w:t>Ивановской области</w:t>
      </w:r>
    </w:p>
    <w:p w:rsidR="004F1C39" w:rsidRDefault="005261EB">
      <w:pPr>
        <w:tabs>
          <w:tab w:val="left" w:pos="822"/>
        </w:tabs>
        <w:ind w:firstLine="746"/>
        <w:jc w:val="right"/>
        <w:rPr>
          <w:sz w:val="28"/>
        </w:rPr>
      </w:pPr>
      <w:r>
        <w:rPr>
          <w:sz w:val="28"/>
        </w:rPr>
        <w:t xml:space="preserve">от </w:t>
      </w:r>
      <w:r>
        <w:t>_________________</w:t>
      </w:r>
      <w:r>
        <w:rPr>
          <w:sz w:val="28"/>
        </w:rPr>
        <w:t xml:space="preserve"> № </w:t>
      </w:r>
      <w:r>
        <w:t>___</w:t>
      </w:r>
      <w:proofErr w:type="gramStart"/>
      <w:r>
        <w:t>_</w:t>
      </w:r>
      <w:r>
        <w:rPr>
          <w:sz w:val="28"/>
        </w:rPr>
        <w:t>-</w:t>
      </w:r>
      <w:proofErr w:type="gramEnd"/>
      <w:r>
        <w:rPr>
          <w:sz w:val="28"/>
        </w:rPr>
        <w:t>п</w:t>
      </w:r>
    </w:p>
    <w:p w:rsidR="004F1C39" w:rsidRDefault="004F1C39">
      <w:pPr>
        <w:tabs>
          <w:tab w:val="left" w:pos="822"/>
        </w:tabs>
        <w:ind w:firstLine="746"/>
        <w:jc w:val="right"/>
        <w:rPr>
          <w:sz w:val="28"/>
        </w:rPr>
      </w:pPr>
    </w:p>
    <w:p w:rsidR="004F1C39" w:rsidRDefault="005261EB">
      <w:pPr>
        <w:jc w:val="right"/>
        <w:outlineLvl w:val="0"/>
        <w:rPr>
          <w:sz w:val="28"/>
        </w:rPr>
      </w:pPr>
      <w:r>
        <w:rPr>
          <w:sz w:val="28"/>
        </w:rPr>
        <w:t>Приложение 5</w:t>
      </w:r>
    </w:p>
    <w:p w:rsidR="004F1C39" w:rsidRDefault="005261EB">
      <w:pPr>
        <w:jc w:val="right"/>
        <w:rPr>
          <w:sz w:val="28"/>
        </w:rPr>
      </w:pPr>
      <w:r>
        <w:rPr>
          <w:sz w:val="28"/>
        </w:rPr>
        <w:t>к Регламенту</w:t>
      </w:r>
    </w:p>
    <w:p w:rsidR="004F1C39" w:rsidRDefault="005261EB">
      <w:pPr>
        <w:jc w:val="right"/>
        <w:rPr>
          <w:sz w:val="28"/>
        </w:rPr>
      </w:pPr>
      <w:r>
        <w:rPr>
          <w:sz w:val="28"/>
        </w:rPr>
        <w:t>ведения Инвестиционной карты</w:t>
      </w:r>
    </w:p>
    <w:p w:rsidR="004F1C39" w:rsidRDefault="005261EB">
      <w:pPr>
        <w:tabs>
          <w:tab w:val="left" w:pos="822"/>
        </w:tabs>
        <w:ind w:firstLine="746"/>
        <w:jc w:val="right"/>
        <w:rPr>
          <w:sz w:val="28"/>
        </w:rPr>
      </w:pPr>
      <w:r>
        <w:rPr>
          <w:sz w:val="28"/>
        </w:rPr>
        <w:t>Ивановской области</w:t>
      </w:r>
    </w:p>
    <w:p w:rsidR="004F1C39" w:rsidRDefault="004F1C39">
      <w:pPr>
        <w:tabs>
          <w:tab w:val="left" w:pos="822"/>
        </w:tabs>
        <w:ind w:firstLine="746"/>
        <w:jc w:val="right"/>
        <w:rPr>
          <w:sz w:val="28"/>
        </w:rPr>
      </w:pPr>
    </w:p>
    <w:p w:rsidR="004F1C39" w:rsidRDefault="005261EB">
      <w:pPr>
        <w:tabs>
          <w:tab w:val="left" w:pos="82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Р Я Д О К</w:t>
      </w:r>
    </w:p>
    <w:p w:rsidR="004F1C39" w:rsidRDefault="005261EB">
      <w:pPr>
        <w:tabs>
          <w:tab w:val="left" w:pos="822"/>
        </w:tabs>
        <w:jc w:val="center"/>
        <w:rPr>
          <w:b/>
          <w:sz w:val="28"/>
        </w:rPr>
      </w:pPr>
      <w:r>
        <w:rPr>
          <w:b/>
          <w:sz w:val="28"/>
        </w:rPr>
        <w:t>обработки обращений внешних пользователей Инвестиционной карты Ивановской области, размещенной на инвестиционной карте Российской Федерации</w:t>
      </w:r>
    </w:p>
    <w:p w:rsidR="004F1C39" w:rsidRDefault="004F1C39">
      <w:pPr>
        <w:tabs>
          <w:tab w:val="left" w:pos="822"/>
        </w:tabs>
        <w:jc w:val="center"/>
        <w:rPr>
          <w:sz w:val="28"/>
        </w:rPr>
      </w:pPr>
    </w:p>
    <w:p w:rsidR="004F1C39" w:rsidRDefault="005261E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Настоящий Порядок обработки обращений внешних пользователей Инвестиционной карты Ивановской области, размещенной на инвестиционной карте Российской Федерации (далее – Инвестиционная карта Ивановской области) определяет сроки и формат обработки обращений, поступающих от внешних пользователей Инвестиционной карты Ивановской области (далее – обращение) с целью получения информации об инвестиционных возможностях Ивановской области, информации об инвестиционных площадках в Ивановской области, запроса на размещение частной инвестиционной площадки </w:t>
      </w:r>
      <w:r w:rsidR="0038246D">
        <w:rPr>
          <w:sz w:val="28"/>
        </w:rPr>
        <w:t xml:space="preserve">                                  </w:t>
      </w:r>
      <w:r>
        <w:rPr>
          <w:sz w:val="28"/>
        </w:rPr>
        <w:t>на</w:t>
      </w:r>
      <w:proofErr w:type="gramEnd"/>
      <w:r>
        <w:rPr>
          <w:sz w:val="28"/>
        </w:rPr>
        <w:t xml:space="preserve"> Инвестиционной карте Ивановской области, направления сообщения </w:t>
      </w:r>
      <w:r w:rsidR="0038246D">
        <w:rPr>
          <w:sz w:val="28"/>
        </w:rPr>
        <w:t xml:space="preserve">               </w:t>
      </w:r>
      <w:r>
        <w:rPr>
          <w:sz w:val="28"/>
        </w:rPr>
        <w:t>об ошибке в данных на Инвестиционной карте Ивановской области.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 xml:space="preserve">2. В </w:t>
      </w:r>
      <w:proofErr w:type="gramStart"/>
      <w:r>
        <w:rPr>
          <w:sz w:val="28"/>
        </w:rPr>
        <w:t>настоящем</w:t>
      </w:r>
      <w:proofErr w:type="gramEnd"/>
      <w:r>
        <w:rPr>
          <w:sz w:val="28"/>
        </w:rPr>
        <w:t xml:space="preserve"> Порядке используются следующие термины </w:t>
      </w:r>
      <w:r w:rsidR="0038246D">
        <w:rPr>
          <w:sz w:val="28"/>
        </w:rPr>
        <w:t xml:space="preserve">                       </w:t>
      </w:r>
      <w:r>
        <w:rPr>
          <w:sz w:val="28"/>
        </w:rPr>
        <w:t>и определения:</w:t>
      </w:r>
    </w:p>
    <w:p w:rsidR="00BD4334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 xml:space="preserve">«внешний пользователь» - субъект инвестиционной деятельности, субъект малого и среднего предпринимательства, индивидуальный предприниматель, осуществляющие поиск и подбор площадки (земельного участка, здания, помещения) для целей, связанных с инвестиционной деятельностью и (или) ведением хозяйственной деятельности </w:t>
      </w:r>
      <w:r w:rsidR="0038246D">
        <w:rPr>
          <w:sz w:val="28"/>
        </w:rPr>
        <w:t xml:space="preserve">                             </w:t>
      </w:r>
      <w:r>
        <w:rPr>
          <w:sz w:val="28"/>
        </w:rPr>
        <w:t xml:space="preserve">на </w:t>
      </w:r>
      <w:r w:rsidR="00BD4334">
        <w:rPr>
          <w:sz w:val="28"/>
        </w:rPr>
        <w:t xml:space="preserve">  </w:t>
      </w:r>
      <w:r>
        <w:rPr>
          <w:sz w:val="28"/>
        </w:rPr>
        <w:t>территории</w:t>
      </w:r>
      <w:r w:rsidR="00BD4334">
        <w:rPr>
          <w:sz w:val="28"/>
        </w:rPr>
        <w:t xml:space="preserve">  </w:t>
      </w:r>
      <w:r>
        <w:rPr>
          <w:sz w:val="28"/>
        </w:rPr>
        <w:t xml:space="preserve"> Ивановской </w:t>
      </w:r>
      <w:r w:rsidR="00BD4334">
        <w:rPr>
          <w:sz w:val="28"/>
        </w:rPr>
        <w:t xml:space="preserve">   </w:t>
      </w:r>
      <w:r>
        <w:rPr>
          <w:sz w:val="28"/>
        </w:rPr>
        <w:t xml:space="preserve">области, </w:t>
      </w:r>
      <w:r w:rsidR="00BD4334">
        <w:rPr>
          <w:sz w:val="28"/>
        </w:rPr>
        <w:t xml:space="preserve">  </w:t>
      </w:r>
      <w:r>
        <w:rPr>
          <w:sz w:val="28"/>
        </w:rPr>
        <w:t xml:space="preserve">а </w:t>
      </w:r>
      <w:r w:rsidR="00BD4334">
        <w:rPr>
          <w:sz w:val="28"/>
        </w:rPr>
        <w:t xml:space="preserve">  </w:t>
      </w:r>
      <w:r>
        <w:rPr>
          <w:sz w:val="28"/>
        </w:rPr>
        <w:t xml:space="preserve">также </w:t>
      </w:r>
      <w:r w:rsidR="00BD4334">
        <w:rPr>
          <w:sz w:val="28"/>
        </w:rPr>
        <w:t xml:space="preserve">  направляющие   запрос </w:t>
      </w:r>
    </w:p>
    <w:p w:rsidR="00BD4334" w:rsidRDefault="00BD4334" w:rsidP="00BD4334">
      <w:pPr>
        <w:tabs>
          <w:tab w:val="left" w:pos="822"/>
        </w:tabs>
        <w:jc w:val="both"/>
        <w:rPr>
          <w:sz w:val="28"/>
        </w:rPr>
      </w:pPr>
      <w:r>
        <w:rPr>
          <w:sz w:val="28"/>
        </w:rPr>
        <w:t>на   размещение    информации</w:t>
      </w:r>
      <w:r w:rsidR="005261EB">
        <w:rPr>
          <w:sz w:val="28"/>
        </w:rPr>
        <w:t xml:space="preserve"> </w:t>
      </w:r>
      <w:r>
        <w:rPr>
          <w:sz w:val="28"/>
        </w:rPr>
        <w:t xml:space="preserve">   </w:t>
      </w:r>
      <w:r w:rsidR="005261EB">
        <w:rPr>
          <w:sz w:val="28"/>
        </w:rPr>
        <w:t xml:space="preserve">о </w:t>
      </w:r>
      <w:r>
        <w:rPr>
          <w:sz w:val="28"/>
        </w:rPr>
        <w:t xml:space="preserve">   </w:t>
      </w:r>
      <w:r w:rsidR="005261EB">
        <w:rPr>
          <w:sz w:val="28"/>
        </w:rPr>
        <w:t>частной</w:t>
      </w:r>
      <w:r>
        <w:rPr>
          <w:sz w:val="28"/>
        </w:rPr>
        <w:t xml:space="preserve"> </w:t>
      </w:r>
      <w:r w:rsidR="005261EB">
        <w:rPr>
          <w:sz w:val="28"/>
        </w:rPr>
        <w:t xml:space="preserve"> </w:t>
      </w:r>
      <w:r>
        <w:rPr>
          <w:sz w:val="28"/>
        </w:rPr>
        <w:t xml:space="preserve">  </w:t>
      </w:r>
      <w:r w:rsidR="005261EB">
        <w:rPr>
          <w:sz w:val="28"/>
        </w:rPr>
        <w:t xml:space="preserve">инвестиционной </w:t>
      </w:r>
      <w:r>
        <w:rPr>
          <w:sz w:val="28"/>
        </w:rPr>
        <w:t xml:space="preserve">  </w:t>
      </w:r>
      <w:r w:rsidR="005261EB">
        <w:rPr>
          <w:sz w:val="28"/>
        </w:rPr>
        <w:t xml:space="preserve">площадке </w:t>
      </w:r>
    </w:p>
    <w:p w:rsidR="004F1C39" w:rsidRDefault="005261EB" w:rsidP="00BD4334">
      <w:pPr>
        <w:tabs>
          <w:tab w:val="left" w:pos="822"/>
        </w:tabs>
        <w:jc w:val="both"/>
        <w:rPr>
          <w:sz w:val="28"/>
        </w:rPr>
      </w:pPr>
      <w:r>
        <w:rPr>
          <w:sz w:val="28"/>
        </w:rPr>
        <w:t>на Инвестиционной карте Ивановской области;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 xml:space="preserve">«внутренний пользователь» - должностные лица Автономной некоммерческой организации «Агентство по привлечению инвестиций </w:t>
      </w:r>
      <w:r w:rsidR="0038246D">
        <w:rPr>
          <w:sz w:val="28"/>
        </w:rPr>
        <w:t xml:space="preserve">                  </w:t>
      </w:r>
      <w:r>
        <w:rPr>
          <w:sz w:val="28"/>
        </w:rPr>
        <w:t>в Ивановскую область» (далее – Агентство), ответственные за обработку, подготовку и направление ответов на обращения, сотрудники Министерства экономического развития Российской Федерации, осуществляющие оценку качества и сроков обработки обращений внешних пользователей, а также рассмотрение повторных обращений.</w:t>
      </w:r>
    </w:p>
    <w:p w:rsidR="009E5218" w:rsidRDefault="009E5218">
      <w:pPr>
        <w:tabs>
          <w:tab w:val="left" w:pos="822"/>
        </w:tabs>
        <w:ind w:firstLine="709"/>
        <w:jc w:val="both"/>
        <w:rPr>
          <w:sz w:val="28"/>
        </w:rPr>
      </w:pPr>
    </w:p>
    <w:p w:rsidR="004F1C39" w:rsidRDefault="005261E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9E5218">
        <w:rPr>
          <w:sz w:val="28"/>
        </w:rPr>
        <w:t>Агентство</w:t>
      </w:r>
      <w:r>
        <w:rPr>
          <w:sz w:val="28"/>
        </w:rPr>
        <w:t>: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 xml:space="preserve">3.1. Осуществляет назначение </w:t>
      </w:r>
      <w:r w:rsidR="009E5218">
        <w:rPr>
          <w:sz w:val="28"/>
        </w:rPr>
        <w:t xml:space="preserve">распорядительным документом Агентства  </w:t>
      </w:r>
      <w:r>
        <w:rPr>
          <w:sz w:val="28"/>
        </w:rPr>
        <w:t xml:space="preserve">должностных лиц </w:t>
      </w:r>
      <w:r w:rsidR="009E5218">
        <w:rPr>
          <w:sz w:val="28"/>
        </w:rPr>
        <w:t>ответственными</w:t>
      </w:r>
      <w:r>
        <w:rPr>
          <w:sz w:val="28"/>
        </w:rPr>
        <w:t xml:space="preserve"> за обработку обращений </w:t>
      </w:r>
      <w:r w:rsidR="0038246D">
        <w:rPr>
          <w:sz w:val="28"/>
        </w:rPr>
        <w:t xml:space="preserve">                         </w:t>
      </w:r>
      <w:r>
        <w:rPr>
          <w:sz w:val="28"/>
        </w:rPr>
        <w:t xml:space="preserve">и наделение их пользовательскими ролями администратора и сотрудника (далее – Администратор, Сотрудник), а также обеспечивает регистрацию </w:t>
      </w:r>
      <w:r w:rsidR="0038246D">
        <w:rPr>
          <w:sz w:val="28"/>
        </w:rPr>
        <w:t xml:space="preserve">              </w:t>
      </w:r>
      <w:r>
        <w:rPr>
          <w:sz w:val="28"/>
        </w:rPr>
        <w:t>и</w:t>
      </w:r>
      <w:r w:rsidR="0038246D">
        <w:rPr>
          <w:sz w:val="28"/>
        </w:rPr>
        <w:t xml:space="preserve">   </w:t>
      </w:r>
      <w:r>
        <w:rPr>
          <w:sz w:val="28"/>
        </w:rPr>
        <w:t xml:space="preserve"> получение доступа в личный кабинет внутреннего пользователя Инвестиционной карты Ивановской области в </w:t>
      </w:r>
      <w:proofErr w:type="gramStart"/>
      <w:r>
        <w:rPr>
          <w:sz w:val="28"/>
        </w:rPr>
        <w:t>течении</w:t>
      </w:r>
      <w:proofErr w:type="gramEnd"/>
      <w:r>
        <w:rPr>
          <w:sz w:val="28"/>
        </w:rPr>
        <w:t xml:space="preserve"> 5 рабочих дней </w:t>
      </w:r>
      <w:r w:rsidR="0038246D">
        <w:rPr>
          <w:sz w:val="28"/>
        </w:rPr>
        <w:t xml:space="preserve">             </w:t>
      </w:r>
      <w:r>
        <w:rPr>
          <w:sz w:val="28"/>
        </w:rPr>
        <w:t>со дня принятия распорядительного документа.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>3.2. Осуществляет контроль соблюдения сроков обработки обращений, поступающих в адрес Ивановской области:</w:t>
      </w:r>
    </w:p>
    <w:p w:rsidR="004F1C39" w:rsidRDefault="005261E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3 рабочих дня - для обращений на получение инвестиционной площадки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автоматической регистрации обращения в личном кабинете Инвестиционной карты Ивановской области;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 xml:space="preserve">10 рабочих дней - для обращений по запросу дополнительной информации, по запросу на размещение частной инвестиционной площадки на Инвестиционной карте Ивановской области, для обращений </w:t>
      </w:r>
      <w:r w:rsidR="0038246D">
        <w:rPr>
          <w:sz w:val="28"/>
        </w:rPr>
        <w:t xml:space="preserve"> </w:t>
      </w:r>
      <w:r>
        <w:rPr>
          <w:sz w:val="28"/>
        </w:rPr>
        <w:t xml:space="preserve">с сообщением об ошибке в данных на Инвестиционной карте Ивановской области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автоматической регистрации обращения</w:t>
      </w:r>
      <w:r w:rsidR="009E5218">
        <w:rPr>
          <w:sz w:val="28"/>
        </w:rPr>
        <w:t>, запроса</w:t>
      </w:r>
      <w:r>
        <w:rPr>
          <w:sz w:val="28"/>
        </w:rPr>
        <w:t xml:space="preserve"> в личном кабинете Инвестиц</w:t>
      </w:r>
      <w:r w:rsidR="00C43617">
        <w:rPr>
          <w:sz w:val="28"/>
        </w:rPr>
        <w:t>ионной карты Ивановской области.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 xml:space="preserve">При направлении уточняющего запроса внешнему пользователю Администратором или Сотрудником срок подготовки ответа на обращение продлевается на 3 рабочих дня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обращения в личном кабинете Инвестиционной карты Ивановской области.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Администратором или Сотрудником не был получен ответ на уточняющий запрос, внешнему пользователю направляется ответ о закрытии обращения.</w:t>
      </w:r>
    </w:p>
    <w:p w:rsidR="004F1C39" w:rsidRDefault="005261E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3.3. Осуществляет взаимодействие с исполнительными органами государственной власти Ивановской области, органами местного самоуправления, </w:t>
      </w:r>
      <w:proofErr w:type="spellStart"/>
      <w:r>
        <w:rPr>
          <w:sz w:val="28"/>
        </w:rPr>
        <w:t>ресурсоснабжающими</w:t>
      </w:r>
      <w:proofErr w:type="spellEnd"/>
      <w:r>
        <w:rPr>
          <w:sz w:val="28"/>
        </w:rPr>
        <w:t xml:space="preserve"> организациями и управляющими компаниями индустриальных парков, технопарков (при наличии) </w:t>
      </w:r>
      <w:r w:rsidR="0038246D">
        <w:rPr>
          <w:sz w:val="28"/>
        </w:rPr>
        <w:t xml:space="preserve">                     </w:t>
      </w:r>
      <w:r>
        <w:rPr>
          <w:sz w:val="28"/>
        </w:rPr>
        <w:t>по подготовке ответов на обращения.</w:t>
      </w:r>
    </w:p>
    <w:p w:rsidR="004F1C39" w:rsidRDefault="005261EB">
      <w:pPr>
        <w:tabs>
          <w:tab w:val="left" w:pos="822"/>
        </w:tabs>
        <w:ind w:firstLine="709"/>
        <w:jc w:val="both"/>
        <w:rPr>
          <w:sz w:val="28"/>
        </w:rPr>
      </w:pPr>
      <w:r>
        <w:rPr>
          <w:sz w:val="28"/>
        </w:rPr>
        <w:t>3.4. Осуществляет взаимодействие с Министерством экономического развития Российской Федерации по рассмотрению повторных обращений.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>4. Администратор обеспечивает: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>- мониторинг всех обращений, поступивших в Ивановскую область;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>- контроль соблюдения сроков обработки обращений и качества ответов, подготовленных Сотрудником;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 xml:space="preserve">- назначение и переназначение Сотрудников, ответственных </w:t>
      </w:r>
      <w:r w:rsidR="0038246D">
        <w:rPr>
          <w:sz w:val="28"/>
        </w:rPr>
        <w:t xml:space="preserve">                       </w:t>
      </w:r>
      <w:r>
        <w:rPr>
          <w:sz w:val="28"/>
        </w:rPr>
        <w:t xml:space="preserve">за подготовку ответов на обращения, в течение 1 рабочего дня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автоматической регистрации обращения в личном кабинете Инвестиционной карты Ивановской области;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>- взаимодействие с внутренними пользователями Министерства экономического развития Российской Федерации по рассмотрению повторных обращений;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выполнение функциональных задач Сотрудника (по решению Агентства при необходимости);</w:t>
      </w:r>
    </w:p>
    <w:p w:rsidR="009E5218" w:rsidRDefault="005261EB">
      <w:pPr>
        <w:ind w:firstLine="709"/>
        <w:jc w:val="both"/>
        <w:rPr>
          <w:sz w:val="28"/>
        </w:rPr>
      </w:pPr>
      <w:r>
        <w:rPr>
          <w:sz w:val="28"/>
        </w:rPr>
        <w:t>- согласование и направление ответа на обращение внешнему пользователю при отсутствии замечани</w:t>
      </w:r>
      <w:r w:rsidR="009E5218">
        <w:rPr>
          <w:sz w:val="28"/>
        </w:rPr>
        <w:t>й к проекту ответа на обращение;</w:t>
      </w:r>
      <w:r>
        <w:rPr>
          <w:sz w:val="28"/>
        </w:rPr>
        <w:t xml:space="preserve"> 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>- наделение Сотру</w:t>
      </w:r>
      <w:r w:rsidR="009E5218">
        <w:rPr>
          <w:sz w:val="28"/>
        </w:rPr>
        <w:t>дника правом направления ответа на обращение</w:t>
      </w:r>
      <w:r>
        <w:rPr>
          <w:sz w:val="28"/>
        </w:rPr>
        <w:t xml:space="preserve"> без согласования (при необходимости).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>5. Сотрудник обеспечивает: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>- подготовку ответов на обращения;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>- взаимодействие с внешним пользователем при наличии вопросов, связанных с подготовкой ответа на обращение, в том числе посредством направления ему уточняющего запроса;</w:t>
      </w:r>
    </w:p>
    <w:p w:rsidR="004F1C39" w:rsidRDefault="005261EB">
      <w:pPr>
        <w:ind w:firstLine="709"/>
        <w:jc w:val="both"/>
        <w:rPr>
          <w:sz w:val="28"/>
        </w:rPr>
      </w:pPr>
      <w:r>
        <w:rPr>
          <w:sz w:val="28"/>
        </w:rPr>
        <w:t xml:space="preserve">- направление проекта ответа на обращение </w:t>
      </w:r>
      <w:r w:rsidR="009E5218">
        <w:rPr>
          <w:sz w:val="28"/>
        </w:rPr>
        <w:t>Администратору для согласования.</w:t>
      </w:r>
    </w:p>
    <w:p w:rsidR="00D42ADB" w:rsidRDefault="009E5218" w:rsidP="009E5218">
      <w:pPr>
        <w:ind w:firstLine="709"/>
        <w:jc w:val="both"/>
        <w:rPr>
          <w:sz w:val="28"/>
        </w:rPr>
      </w:pPr>
      <w:r>
        <w:rPr>
          <w:sz w:val="28"/>
        </w:rPr>
        <w:t xml:space="preserve">6. При наличии замечаний к проекту ответа на обращение Администратор направляет Сотруднику проект ответа на обращение на доработку. </w:t>
      </w:r>
    </w:p>
    <w:p w:rsidR="004F1C39" w:rsidRDefault="009E5218" w:rsidP="009E5218">
      <w:pPr>
        <w:ind w:firstLine="709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В </w:t>
      </w:r>
      <w:r w:rsidR="005261EB">
        <w:rPr>
          <w:sz w:val="28"/>
        </w:rPr>
        <w:t xml:space="preserve">течении 1 рабочего дня со дня поступления проекта ответа </w:t>
      </w:r>
      <w:r w:rsidR="0038246D">
        <w:rPr>
          <w:sz w:val="28"/>
        </w:rPr>
        <w:t xml:space="preserve">                   </w:t>
      </w:r>
      <w:r w:rsidR="005261EB">
        <w:rPr>
          <w:sz w:val="28"/>
        </w:rPr>
        <w:t xml:space="preserve">на доработку </w:t>
      </w:r>
      <w:r>
        <w:rPr>
          <w:sz w:val="28"/>
        </w:rPr>
        <w:t xml:space="preserve">Сотрудник </w:t>
      </w:r>
      <w:r w:rsidR="005261EB">
        <w:rPr>
          <w:sz w:val="28"/>
        </w:rPr>
        <w:t>вносит изменения в проект ответа на обращение и направляет его на повторное согласование Администратору.</w:t>
      </w:r>
    </w:p>
    <w:p w:rsidR="00DE2CC7" w:rsidRDefault="009E5218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DE2CC7">
        <w:rPr>
          <w:sz w:val="28"/>
        </w:rPr>
        <w:t xml:space="preserve">. Направление и обработка обращений осуществляется с использованием сервисов и интерфейса личного кабинета Инвестиционной карты Ивановской области. </w:t>
      </w:r>
      <w:r w:rsidR="005261EB">
        <w:rPr>
          <w:sz w:val="28"/>
        </w:rPr>
        <w:t xml:space="preserve">Доступ в личный кабинет внутреннего пользователя Инвестиционной карты Ивановской области осуществляется посредством регистрации внутренних пользователей Инвестиционной карты Ивановской области </w:t>
      </w:r>
      <w:r w:rsidR="00DE2CC7">
        <w:rPr>
          <w:sz w:val="28"/>
        </w:rPr>
        <w:t xml:space="preserve"> </w:t>
      </w:r>
      <w:r w:rsidR="005261EB">
        <w:rPr>
          <w:sz w:val="28"/>
        </w:rPr>
        <w:t xml:space="preserve">в государственной информационной системе «Экономика». </w:t>
      </w:r>
    </w:p>
    <w:p w:rsidR="004F1C39" w:rsidRDefault="00DE2CC7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5261EB">
        <w:rPr>
          <w:sz w:val="28"/>
        </w:rPr>
        <w:t>. Обработка обращений осуществляется с соблюдением законодательства Российской Федерации о порядке рассмотрения обращений граждан и законодательства Российской Федерации в области персональных данных.</w:t>
      </w:r>
    </w:p>
    <w:p w:rsidR="004F1C39" w:rsidRDefault="004F1C39">
      <w:pPr>
        <w:ind w:firstLine="709"/>
        <w:jc w:val="both"/>
        <w:rPr>
          <w:sz w:val="28"/>
        </w:rPr>
      </w:pPr>
    </w:p>
    <w:sectPr w:rsidR="004F1C39" w:rsidSect="00BE7BA6">
      <w:headerReference w:type="default" r:id="rId10"/>
      <w:pgSz w:w="11908" w:h="16848"/>
      <w:pgMar w:top="1418" w:right="1276" w:bottom="850" w:left="155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73" w:rsidRDefault="005261EB">
      <w:r>
        <w:separator/>
      </w:r>
    </w:p>
  </w:endnote>
  <w:endnote w:type="continuationSeparator" w:id="0">
    <w:p w:rsidR="008B4273" w:rsidRDefault="0052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73" w:rsidRDefault="005261EB">
      <w:r>
        <w:separator/>
      </w:r>
    </w:p>
  </w:footnote>
  <w:footnote w:type="continuationSeparator" w:id="0">
    <w:p w:rsidR="008B4273" w:rsidRDefault="0052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39" w:rsidRDefault="005261E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42ADB">
      <w:rPr>
        <w:noProof/>
      </w:rPr>
      <w:t>7</w:t>
    </w:r>
    <w:r>
      <w:fldChar w:fldCharType="end"/>
    </w:r>
  </w:p>
  <w:p w:rsidR="004F1C39" w:rsidRDefault="004F1C3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1C39"/>
    <w:rsid w:val="000E1B09"/>
    <w:rsid w:val="000F4066"/>
    <w:rsid w:val="0038246D"/>
    <w:rsid w:val="004F1C39"/>
    <w:rsid w:val="005261EB"/>
    <w:rsid w:val="00653EC0"/>
    <w:rsid w:val="006A0524"/>
    <w:rsid w:val="008B4273"/>
    <w:rsid w:val="008E5334"/>
    <w:rsid w:val="009E5218"/>
    <w:rsid w:val="00AB321E"/>
    <w:rsid w:val="00BD4334"/>
    <w:rsid w:val="00BE7BA6"/>
    <w:rsid w:val="00C316CC"/>
    <w:rsid w:val="00C43617"/>
    <w:rsid w:val="00D42ADB"/>
    <w:rsid w:val="00D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rPr>
      <w:sz w:val="4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4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"/>
    <w:link w:val="a7"/>
    <w:rPr>
      <w:rFonts w:asciiTheme="minorHAnsi" w:hAnsiTheme="minorHAnsi"/>
      <w:sz w:val="2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Roboto" w:hAnsi="Roboto"/>
      <w:sz w:val="24"/>
    </w:rPr>
  </w:style>
  <w:style w:type="character" w:customStyle="1" w:styleId="Default0">
    <w:name w:val="Default"/>
    <w:link w:val="Default"/>
    <w:rPr>
      <w:rFonts w:ascii="Roboto" w:hAnsi="Roboto"/>
      <w:color w:val="000000"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Plain Text"/>
    <w:basedOn w:val="a"/>
    <w:link w:val="af"/>
    <w:rPr>
      <w:rFonts w:ascii="Courier New" w:hAnsi="Courier New"/>
      <w:sz w:val="20"/>
    </w:rPr>
  </w:style>
  <w:style w:type="character" w:customStyle="1" w:styleId="af">
    <w:name w:val="Текст Знак"/>
    <w:basedOn w:val="1"/>
    <w:link w:val="ae"/>
    <w:rPr>
      <w:rFonts w:ascii="Courier New" w:hAnsi="Courier New"/>
      <w:sz w:val="20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rPr>
      <w:sz w:val="4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4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"/>
    <w:link w:val="a7"/>
    <w:rPr>
      <w:rFonts w:asciiTheme="minorHAnsi" w:hAnsiTheme="minorHAnsi"/>
      <w:sz w:val="2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Roboto" w:hAnsi="Roboto"/>
      <w:sz w:val="24"/>
    </w:rPr>
  </w:style>
  <w:style w:type="character" w:customStyle="1" w:styleId="Default0">
    <w:name w:val="Default"/>
    <w:link w:val="Default"/>
    <w:rPr>
      <w:rFonts w:ascii="Roboto" w:hAnsi="Roboto"/>
      <w:color w:val="000000"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Plain Text"/>
    <w:basedOn w:val="a"/>
    <w:link w:val="af"/>
    <w:rPr>
      <w:rFonts w:ascii="Courier New" w:hAnsi="Courier New"/>
      <w:sz w:val="20"/>
    </w:rPr>
  </w:style>
  <w:style w:type="character" w:customStyle="1" w:styleId="af">
    <w:name w:val="Текст Знак"/>
    <w:basedOn w:val="1"/>
    <w:link w:val="ae"/>
    <w:rPr>
      <w:rFonts w:ascii="Courier New" w:hAnsi="Courier New"/>
      <w:sz w:val="20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rit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3256-0A6D-4AE2-AEED-AF50A91D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golikova</cp:lastModifiedBy>
  <cp:revision>16</cp:revision>
  <cp:lastPrinted>2024-08-14T08:03:00Z</cp:lastPrinted>
  <dcterms:created xsi:type="dcterms:W3CDTF">2024-08-13T12:50:00Z</dcterms:created>
  <dcterms:modified xsi:type="dcterms:W3CDTF">2024-08-15T08:38:00Z</dcterms:modified>
</cp:coreProperties>
</file>