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ПРОЕКТ</w:t>
      </w:r>
    </w:p>
    <w:p w14:paraId="04000000">
      <w:pPr>
        <w:tabs>
          <w:tab w:leader="none" w:pos="142" w:val="left"/>
        </w:tabs>
        <w:ind w:firstLine="426" w:left="-426"/>
        <w:jc w:val="center"/>
        <w:rPr>
          <w:b w:val="1"/>
        </w:rPr>
      </w:pPr>
      <w:r>
        <w:rPr>
          <w:b w:val="1"/>
        </w:rPr>
        <w:drawing>
          <wp:inline>
            <wp:extent cx="962025" cy="79057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62025" cy="7905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color w:val="000000"/>
          <w:spacing w:val="20"/>
          <w:sz w:val="28"/>
        </w:rPr>
      </w:pPr>
      <w:r>
        <w:rPr>
          <w:rStyle w:val="Style_3_ch"/>
          <w:rFonts w:ascii="Times New Roman" w:hAnsi="Times New Roman"/>
          <w:b w:val="1"/>
          <w:color w:val="000000"/>
          <w:spacing w:val="20"/>
          <w:sz w:val="28"/>
        </w:rPr>
        <w:t>ДЕПАРТАМЕНТ ЭКОНОМИЧЕСКОГО РАЗВИТИЯ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20"/>
          <w:sz w:val="28"/>
        </w:rPr>
      </w:pPr>
      <w:r>
        <w:rPr>
          <w:rFonts w:ascii="Times New Roman" w:hAnsi="Times New Roman"/>
          <w:b w:val="1"/>
          <w:spacing w:val="2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-57785</wp:posOffset>
                </wp:positionH>
                <wp:positionV relativeFrom="paragraph">
                  <wp:posOffset>186055</wp:posOffset>
                </wp:positionV>
                <wp:extent cx="602615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pacing w:val="20"/>
          <w:sz w:val="28"/>
        </w:rPr>
        <w:t>И ТОРГОВЛИ ИВАНОВСКОЙ ОБЛАСТИ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153000, Иваново,  пл. Революции, 2/1, тел. </w:t>
      </w:r>
      <w:r>
        <w:rPr>
          <w:rFonts w:ascii="Times New Roman" w:hAnsi="Times New Roman"/>
          <w:sz w:val="20"/>
        </w:rPr>
        <w:t>(4932) 32-73-4</w:t>
      </w: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факс</w:t>
      </w:r>
      <w:r>
        <w:rPr>
          <w:rFonts w:ascii="Times New Roman" w:hAnsi="Times New Roman"/>
          <w:sz w:val="20"/>
        </w:rPr>
        <w:t xml:space="preserve"> (4932) 30-89-66, 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mail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HYPERLINK "mailto:derit@ivanovoobl.ru"</w:instrText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t>derit@ivanovoobl.ru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>, https</w:t>
      </w:r>
      <w:r>
        <w:rPr>
          <w:rFonts w:ascii="Times New Roman" w:hAnsi="Times New Roman"/>
          <w:sz w:val="20"/>
        </w:rPr>
        <w:t xml:space="preserve">://derit.ivanovoobl.ru  </w:t>
      </w:r>
      <w:r>
        <w:rPr>
          <w:rFonts w:ascii="Times New Roman" w:hAnsi="Times New Roman"/>
          <w:sz w:val="20"/>
        </w:rPr>
        <w:t xml:space="preserve">  </w:t>
      </w:r>
    </w:p>
    <w:p w14:paraId="09000000">
      <w:pPr>
        <w:pStyle w:val="Style_4"/>
        <w:spacing w:before="0"/>
        <w:ind w:firstLine="680" w:left="0"/>
        <w:rPr>
          <w:rFonts w:ascii="Times New Roman" w:hAnsi="Times New Roman"/>
          <w:color w:val="000000"/>
        </w:rPr>
      </w:pPr>
    </w:p>
    <w:p w14:paraId="0A000000">
      <w:pPr>
        <w:pStyle w:val="Style_4"/>
        <w:spacing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</w:rPr>
        <w:t xml:space="preserve"> А С П О Р Я Ж Е Н И Е</w:t>
      </w:r>
    </w:p>
    <w:p w14:paraId="0B000000">
      <w:pPr>
        <w:spacing w:after="0" w:line="240" w:lineRule="auto"/>
        <w:ind/>
        <w:rPr>
          <w:rFonts w:ascii="Times New Roman" w:hAnsi="Times New Roman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 20 ____ г.                                                                                № _______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заготовки, хранения, переработки и реализации лома черных металлов, цветных металлов </w:t>
      </w:r>
      <w:r>
        <w:rPr>
          <w:rFonts w:ascii="Times New Roman" w:hAnsi="Times New Roman"/>
          <w:b w:val="1"/>
          <w:sz w:val="28"/>
        </w:rPr>
        <w:t>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 год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44 Федерального закона от 31.07.2020 № 248-ФЗ 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юридическими лицами и индивидуальными предпринимателями лицензионных требований при осуществлении заготовки, хранения</w:t>
      </w:r>
      <w:r>
        <w:rPr>
          <w:rFonts w:ascii="Times New Roman" w:hAnsi="Times New Roman"/>
          <w:sz w:val="28"/>
        </w:rPr>
        <w:t>, переработки и реализации лома черных металлов, цветных металлов: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осуществлении заготовки, хранения, переработки и реализации лома черных металлов, цветных металлов на 2024 год (прилагается).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распоряжения возложить на заместителя директора Департамента экономического развития и торговли Ивановской области Ю.Г. </w:t>
      </w:r>
      <w:r>
        <w:rPr>
          <w:rFonts w:ascii="Times New Roman" w:hAnsi="Times New Roman"/>
          <w:sz w:val="28"/>
        </w:rPr>
        <w:t>Капралову</w:t>
      </w:r>
      <w:r>
        <w:rPr>
          <w:rFonts w:ascii="Times New Roman" w:hAnsi="Times New Roman"/>
          <w:sz w:val="28"/>
        </w:rPr>
        <w:t>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Член Правительства 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Ивановской области – 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директор Департамента                                                                              Л.С. Бадак</w:t>
      </w:r>
      <w:r>
        <w:rPr>
          <w:rFonts w:ascii="Times New Roman" w:hAnsi="Times New Roman"/>
          <w:b w:val="1"/>
          <w:sz w:val="28"/>
        </w:rPr>
        <w:br/>
      </w:r>
    </w:p>
    <w:p w14:paraId="1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B000000">
      <w:pPr>
        <w:rPr>
          <w:rFonts w:ascii="Times New Roman" w:hAnsi="Times New Roman"/>
        </w:rPr>
      </w:pPr>
    </w:p>
    <w:p w14:paraId="1C000000">
      <w:pPr>
        <w:rPr>
          <w:rFonts w:ascii="Times New Roman" w:hAnsi="Times New Roman"/>
        </w:rPr>
      </w:pPr>
    </w:p>
    <w:p w14:paraId="1D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распоряжению</w:t>
      </w:r>
    </w:p>
    <w:p w14:paraId="1E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Департамента экономического развития </w:t>
      </w:r>
    </w:p>
    <w:p w14:paraId="1F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торговли Ивановской области</w:t>
      </w:r>
    </w:p>
    <w:p w14:paraId="2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 № ______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 Р О Г Р А М 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 xml:space="preserve"> А</w:t>
      </w: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профилактики рисков причинения вреда (ущерба) охраняемым законом ценностям при осуществлении заготовки, хранения, переработки и реализации лома черных металлов, цветных металлов на 2024 год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1. Анализ текущего состояния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металлов, описание текущего развития профилактической деятельности </w:t>
      </w:r>
      <w:r>
        <w:rPr>
          <w:rFonts w:ascii="Times New Roman" w:hAnsi="Times New Roman"/>
          <w:b w:val="1"/>
          <w:sz w:val="28"/>
        </w:rPr>
        <w:t>Департамента экономического развития и торговли Ивановской области</w:t>
      </w:r>
      <w:r>
        <w:rPr>
          <w:rFonts w:ascii="Times New Roman" w:hAnsi="Times New Roman"/>
          <w:b w:val="1"/>
          <w:sz w:val="28"/>
        </w:rPr>
        <w:t xml:space="preserve">, характеристика проблем, на решение которых направлена </w:t>
      </w:r>
      <w:r>
        <w:rPr>
          <w:rFonts w:ascii="Times New Roman" w:hAnsi="Times New Roman"/>
          <w:b w:val="1"/>
          <w:sz w:val="28"/>
        </w:rPr>
        <w:t>программа профилактики</w:t>
      </w:r>
    </w:p>
    <w:p w14:paraId="2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 экономического развития и торговли Ивановской области (далее - Департамент) является органом исполнительной власти Ивановской области, который осуществляет федеральный государственный лицензионный контроль (надзор) за деятельностью по заготовке, хранению, переработке и реализации лома черных металлов, цветных металлов.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государственный лицензионный контроль (надзор) за деятельностью по заготовке, хранению, переработке и реализации лома черных металлов, цветных металлов на территории Ивановской области проводится в отношении юридических лиц, иностранных юридических лиц и индивидуальных предпринимателей (далее – лицензиаты), осуществляющих заготовку, хранение, переработку и реализацию лома черных металлов, цветных металлов на территории Ивановской  области и направлен на соблюдение лицензиатами лицензионных требований, установленных нормативными правовыми</w:t>
      </w:r>
      <w:r>
        <w:rPr>
          <w:rFonts w:ascii="Times New Roman" w:hAnsi="Times New Roman"/>
          <w:sz w:val="28"/>
        </w:rPr>
        <w:t xml:space="preserve"> актами.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контроля является соблюдение юридическими лицами и индивидуальными предпринимателями, осуществляющими деятельность по заготовке, хранению, переработке и реализации лома черных и цветных металлов, за исключением деятельности по реализации лома черных и цветных металлов, образовавшегося у юридических лиц и индивидуальных предпринимателей в процессе собственного производства, лицензионных требований.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Объектом лицензионного контроля является деятельность юридических лиц и индивидуальных предпринимателей по заготовке, хранению, переработке и реализации лома черных и цветных металлов.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Лицензионными требованиями, соблюдение которых оценивается при проведении Департаментом мероприятий по контролю в рамках </w:t>
      </w:r>
      <w:r>
        <w:rPr>
          <w:rFonts w:ascii="Times New Roman" w:hAnsi="Times New Roman"/>
          <w:sz w:val="28"/>
        </w:rPr>
        <w:t>лицензионного контроля в сфере заготовки, хранения, переработки и реализации лома черных металлов, цветных металлов, являются</w:t>
      </w:r>
      <w:r>
        <w:rPr>
          <w:rFonts w:ascii="Times New Roman" w:hAnsi="Times New Roman"/>
          <w:sz w:val="28"/>
        </w:rPr>
        <w:t xml:space="preserve"> требования, установленные Федеральным законом от 04.05.2011 № 99-ФЗ «О лицензировании отдельных видов деятельности»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 Правительства Российской Федерации от 28.05.2022 № 980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некоторых вопросах лицензирования деятельности по заготовке, хранению, переработке и реализации</w:t>
      </w:r>
      <w:r>
        <w:rPr>
          <w:rFonts w:ascii="Times New Roman" w:hAnsi="Times New Roman"/>
          <w:sz w:val="28"/>
        </w:rPr>
        <w:t xml:space="preserve"> лома черных и цветных металлов, а также обращения с ломом и отходами черных и цветных металлов и их отчуждения» </w:t>
      </w:r>
      <w:r>
        <w:rPr>
          <w:rFonts w:ascii="Times New Roman" w:hAnsi="Times New Roman"/>
          <w:sz w:val="28"/>
        </w:rPr>
        <w:t>и принимаемыми в соответствии с ними иными нормативными правовыми актами.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Количество </w:t>
      </w:r>
      <w:r>
        <w:rPr>
          <w:rFonts w:ascii="Times New Roman" w:hAnsi="Times New Roman"/>
          <w:sz w:val="28"/>
        </w:rPr>
        <w:t>действующих лицензий приведено в таблице:</w:t>
      </w: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94"/>
        <w:gridCol w:w="5427"/>
      </w:tblGrid>
      <w:tr>
        <w:tc>
          <w:tcPr>
            <w:tcW w:type="dxa" w:w="4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Показатель</w:t>
            </w:r>
          </w:p>
        </w:tc>
        <w:tc>
          <w:tcPr>
            <w:tcW w:type="dxa" w:w="5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2023</w:t>
            </w:r>
          </w:p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(на 01.09.2023)</w:t>
            </w:r>
          </w:p>
          <w:p w14:paraId="3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действующих лицензий, в том числе</w:t>
            </w:r>
          </w:p>
        </w:tc>
        <w:tc>
          <w:tcPr>
            <w:tcW w:type="dxa" w:w="5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</w:t>
            </w:r>
          </w:p>
        </w:tc>
      </w:tr>
      <w:tr>
        <w:tc>
          <w:tcPr>
            <w:tcW w:type="dxa" w:w="4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юридические лица</w:t>
            </w:r>
          </w:p>
        </w:tc>
        <w:tc>
          <w:tcPr>
            <w:tcW w:type="dxa" w:w="5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501</w:t>
            </w:r>
          </w:p>
        </w:tc>
      </w:tr>
      <w:tr>
        <w:tc>
          <w:tcPr>
            <w:tcW w:type="dxa" w:w="4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иностранные юридические лица</w:t>
            </w:r>
          </w:p>
        </w:tc>
        <w:tc>
          <w:tcPr>
            <w:tcW w:type="dxa" w:w="5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4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индивидуальные предприниматели</w:t>
            </w:r>
          </w:p>
        </w:tc>
        <w:tc>
          <w:tcPr>
            <w:tcW w:type="dxa" w:w="5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ф</w:t>
      </w:r>
      <w:r>
        <w:rPr>
          <w:rFonts w:ascii="Times New Roman" w:hAnsi="Times New Roman"/>
          <w:sz w:val="28"/>
        </w:rPr>
        <w:t>едерального государственного лицензионного контроля (надзор)а за деятельностью по заготовке, хранению, переработке и реализации лома черных металлов, цветных металлов</w:t>
      </w:r>
      <w:r>
        <w:rPr>
          <w:rFonts w:ascii="Times New Roman" w:hAnsi="Times New Roman"/>
          <w:sz w:val="28"/>
        </w:rPr>
        <w:t xml:space="preserve"> по состоянию на 01.09.2023 </w:t>
      </w:r>
      <w:r>
        <w:rPr>
          <w:rFonts w:ascii="Times New Roman" w:hAnsi="Times New Roman"/>
          <w:sz w:val="28"/>
        </w:rPr>
        <w:t>плановые и внеплановые контрольные (надзорные) мероприятия не проводились.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контрольные (надзорные) мероприятия проводятся исключительно при условии согл</w:t>
      </w:r>
      <w:r>
        <w:rPr>
          <w:rFonts w:ascii="Times New Roman" w:hAnsi="Times New Roman"/>
          <w:sz w:val="28"/>
        </w:rPr>
        <w:t xml:space="preserve">асования с органами прокуратуры </w:t>
      </w:r>
      <w:r>
        <w:rPr>
          <w:rFonts w:ascii="Times New Roman" w:hAnsi="Times New Roman"/>
          <w:sz w:val="28"/>
        </w:rPr>
        <w:t>при непосредственной угрозе причинения вреда жизни и тяжкого вреда здоровью граждан, по фактам причинения вреда жизни и</w:t>
      </w:r>
      <w:r>
        <w:rPr>
          <w:rFonts w:ascii="Times New Roman" w:hAnsi="Times New Roman"/>
          <w:sz w:val="28"/>
        </w:rPr>
        <w:t xml:space="preserve"> тяжкого вреда здоровью граждан, а так </w:t>
      </w:r>
      <w:r>
        <w:rPr>
          <w:rStyle w:val="Style_3_ch"/>
          <w:rFonts w:ascii="Times New Roman" w:hAnsi="Times New Roman"/>
          <w:sz w:val="28"/>
        </w:rPr>
        <w:t xml:space="preserve">же </w:t>
      </w:r>
      <w:r>
        <w:rPr>
          <w:rStyle w:val="Style_3_ch"/>
          <w:rFonts w:ascii="Times New Roman" w:hAnsi="Times New Roman"/>
          <w:sz w:val="28"/>
        </w:rPr>
        <w:t>при выявлении индикаторов риска нарушения обязательных требований</w:t>
      </w:r>
      <w:r>
        <w:rPr>
          <w:rFonts w:ascii="Times New Roman" w:hAnsi="Times New Roman"/>
          <w:sz w:val="28"/>
        </w:rPr>
        <w:t xml:space="preserve"> (пункт 3 </w:t>
      </w:r>
      <w:r>
        <w:rPr>
          <w:rStyle w:val="Style_3_ch"/>
          <w:rFonts w:ascii="Times New Roman" w:hAnsi="Times New Roman"/>
          <w:sz w:val="28"/>
        </w:rPr>
        <w:t>постановлени</w:t>
      </w:r>
      <w:r>
        <w:rPr>
          <w:rStyle w:val="Style_3_ch"/>
          <w:rFonts w:ascii="Times New Roman" w:hAnsi="Times New Roman"/>
          <w:sz w:val="28"/>
        </w:rPr>
        <w:t>я</w:t>
      </w:r>
      <w:r>
        <w:rPr>
          <w:rStyle w:val="Style_3_ch"/>
          <w:rFonts w:ascii="Times New Roman" w:hAnsi="Times New Roman"/>
          <w:sz w:val="28"/>
        </w:rPr>
        <w:t xml:space="preserve"> Правительства Российской Федерации от 10.03.2022          № 336 «Об особенностях организации и осуществления государственного контроля (надзора), муниципального контроля»</w:t>
      </w:r>
      <w:r>
        <w:rPr>
          <w:rStyle w:val="Style_3_ch"/>
          <w:rFonts w:ascii="Times New Roman" w:hAnsi="Times New Roman"/>
          <w:sz w:val="28"/>
        </w:rPr>
        <w:t xml:space="preserve"> (далее – Постановление № 336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основания для проведения внеплановых контрольных (надзо</w:t>
      </w:r>
      <w:r>
        <w:rPr>
          <w:rFonts w:ascii="Times New Roman" w:hAnsi="Times New Roman"/>
          <w:sz w:val="28"/>
        </w:rPr>
        <w:t>рных) мероприятий отсутствовали, контрольные (надзорные) мероприятия не проводились.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Проведено 3 контрольных (надзорных) мероприятия без взаимодействия с контролируемым лицом (выездное обследование).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01.09.2023 протоколы об административных правонарушениях не составлялись</w:t>
      </w:r>
      <w:r>
        <w:rPr>
          <w:rFonts w:ascii="Times New Roman" w:hAnsi="Times New Roman"/>
          <w:sz w:val="28"/>
        </w:rPr>
        <w:t>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Случаи причинения вреда </w:t>
      </w:r>
      <w:r>
        <w:rPr>
          <w:rFonts w:ascii="Times New Roman" w:hAnsi="Times New Roman"/>
          <w:sz w:val="28"/>
        </w:rPr>
        <w:t>жизни,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здоровью граждан, произошедших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причине нарушения лицензионных требований, не установлены.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причинении подконтрольными субъектами </w:t>
      </w:r>
      <w:r>
        <w:rPr>
          <w:rFonts w:ascii="Times New Roman" w:hAnsi="Times New Roman"/>
          <w:sz w:val="28"/>
        </w:rPr>
        <w:t xml:space="preserve">вреда </w:t>
      </w:r>
      <w:r>
        <w:rPr>
          <w:rFonts w:ascii="Times New Roman" w:hAnsi="Times New Roman"/>
          <w:sz w:val="28"/>
        </w:rPr>
        <w:t>жизни,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здоровью граждан, связанных с их деятельностью, в Департамент не поступали.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Индикаторы риска нарушений обязательных требований не выявлялись.</w:t>
      </w:r>
    </w:p>
    <w:p w14:paraId="4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</w:t>
      </w:r>
      <w:r>
        <w:rPr>
          <w:rStyle w:val="Style_3_ch"/>
          <w:rFonts w:ascii="Times New Roman" w:hAnsi="Times New Roman"/>
          <w:sz w:val="28"/>
        </w:rPr>
        <w:t>унктом 11(3)</w:t>
      </w:r>
      <w:r>
        <w:rPr>
          <w:rStyle w:val="Style_3_ch"/>
          <w:rFonts w:ascii="Times New Roman" w:hAnsi="Times New Roman"/>
          <w:sz w:val="28"/>
        </w:rPr>
        <w:t xml:space="preserve"> Постановления № 336</w:t>
      </w:r>
      <w:r>
        <w:rPr>
          <w:rStyle w:val="Style_3_ch"/>
          <w:rFonts w:ascii="Times New Roman" w:hAnsi="Times New Roman"/>
          <w:sz w:val="28"/>
        </w:rPr>
        <w:t xml:space="preserve"> было установлено, что</w:t>
      </w:r>
      <w:r>
        <w:rPr>
          <w:rStyle w:val="Style_3_ch"/>
          <w:rFonts w:ascii="Times New Roman" w:hAnsi="Times New Roman"/>
          <w:sz w:val="28"/>
        </w:rPr>
        <w:t xml:space="preserve"> в планы проведения плановых контрольных (надзорных) мероприятий на 2023 </w:t>
      </w:r>
      <w:r>
        <w:rPr>
          <w:rStyle w:val="Style_3_ch"/>
          <w:rFonts w:ascii="Times New Roman" w:hAnsi="Times New Roman"/>
          <w:sz w:val="28"/>
        </w:rPr>
        <w:t>при осуществлении видов государственного контроля (надзора), муниципального контроля</w:t>
      </w:r>
      <w:r>
        <w:rPr>
          <w:rStyle w:val="Style_3_ch"/>
          <w:rFonts w:ascii="Times New Roman" w:hAnsi="Times New Roman"/>
          <w:sz w:val="28"/>
        </w:rPr>
        <w:t>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Федерации», включаются плановые контрольные (надзорные) мероприятия только в отношении объектов контроля, отнесенных к категориям чрезвычайно высокого и высокого риска.</w:t>
      </w:r>
    </w:p>
    <w:p w14:paraId="4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Объекты лицензионного контроля в сфере загото</w:t>
      </w:r>
      <w:r>
        <w:rPr>
          <w:rStyle w:val="Style_3_ch"/>
          <w:rFonts w:ascii="Times New Roman" w:hAnsi="Times New Roman"/>
          <w:sz w:val="28"/>
        </w:rPr>
        <w:t xml:space="preserve">вки, хранения, переработки и реализации лома черных металлов, цветных металлов к категориям </w:t>
      </w:r>
      <w:r>
        <w:rPr>
          <w:rStyle w:val="Style_3_ch"/>
          <w:rFonts w:ascii="Times New Roman" w:hAnsi="Times New Roman"/>
          <w:sz w:val="28"/>
        </w:rPr>
        <w:t>чрезвычайно высокого и высокого риска  не относятся.</w:t>
      </w:r>
    </w:p>
    <w:p w14:paraId="4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На основании изложенного на 2023 год</w:t>
      </w:r>
      <w:r>
        <w:rPr>
          <w:rStyle w:val="Style_3_ch"/>
          <w:rFonts w:ascii="Times New Roman" w:hAnsi="Times New Roman"/>
          <w:sz w:val="28"/>
        </w:rPr>
        <w:t xml:space="preserve"> план проведения плановых контрольных (надзорных) мероприятий  не утверждался.</w:t>
      </w:r>
    </w:p>
    <w:p w14:paraId="4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Положением о лицензировании </w:t>
      </w:r>
      <w:r>
        <w:rPr>
          <w:rStyle w:val="Style_3_ch"/>
          <w:rFonts w:ascii="Times New Roman" w:hAnsi="Times New Roman"/>
          <w:sz w:val="28"/>
        </w:rPr>
        <w:t xml:space="preserve">деятельности по заготовке, хранению, переработке и реализации лома черных и цветных металлов, утвержденным </w:t>
      </w:r>
      <w:r>
        <w:rPr>
          <w:rStyle w:val="Style_3_ch"/>
          <w:rFonts w:ascii="Times New Roman" w:hAnsi="Times New Roman"/>
          <w:sz w:val="28"/>
        </w:rPr>
        <w:t>п</w:t>
      </w:r>
      <w:r>
        <w:rPr>
          <w:rStyle w:val="Style_3_ch"/>
          <w:rFonts w:ascii="Times New Roman" w:hAnsi="Times New Roman"/>
          <w:sz w:val="28"/>
        </w:rPr>
        <w:t xml:space="preserve">остановлением Правительства Российской Федерации от 28.05.2022 № 980          </w:t>
      </w:r>
      <w:r>
        <w:rPr>
          <w:rStyle w:val="Style_3_ch"/>
          <w:rFonts w:ascii="Times New Roman" w:hAnsi="Times New Roman"/>
          <w:sz w:val="28"/>
        </w:rPr>
        <w:t xml:space="preserve">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отчуждения», так же установлено, что </w:t>
      </w:r>
      <w:r>
        <w:rPr>
          <w:rStyle w:val="Style_3_ch"/>
          <w:rFonts w:ascii="Times New Roman" w:hAnsi="Times New Roman"/>
          <w:sz w:val="28"/>
        </w:rPr>
        <w:t>грубыми нарушениями лицензионных требований при осуществлении лицензируемой деятельности являются, нарушения:</w:t>
      </w:r>
    </w:p>
    <w:p w14:paraId="4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а) требований Правил обращения с ломом и отходами черных и цветных металлов и их отчуждения в части приема лома черных и (или) цветных металлов:</w:t>
      </w:r>
    </w:p>
    <w:p w14:paraId="4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без осуществления радиационного контроля;</w:t>
      </w:r>
    </w:p>
    <w:p w14:paraId="4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без осуществления контроля на взрывобезопасность;</w:t>
      </w:r>
    </w:p>
    <w:p w14:paraId="4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б) требований Правил обращения с ломом и отходами черных и цветных металлов и их отчуждения в части хранения лома и отходов черных и (или) цветных металлов в пределах площадки с асфальтовым, бетонным или другим твердым влагостойким покрытием.</w:t>
      </w:r>
    </w:p>
    <w:p w14:paraId="4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При этом к данным нарушения</w:t>
      </w:r>
      <w:r>
        <w:rPr>
          <w:rStyle w:val="Style_3_ch"/>
          <w:rFonts w:ascii="Times New Roman" w:hAnsi="Times New Roman"/>
          <w:sz w:val="28"/>
        </w:rPr>
        <w:t xml:space="preserve"> могут относиться только нарушения, повлекшие за собой:</w:t>
      </w:r>
    </w:p>
    <w:p w14:paraId="4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техногенного характера;</w:t>
      </w:r>
    </w:p>
    <w:p w14:paraId="4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человеческие жертвы или причинение тяжкого вреда здоровью граждан, причинение средней тяжести вреда здоровью двух и более граждан, причинение вреда животным, растениям, окружающей среде, объектам культурного наследия (памятникам истории и культуры) народов Российской Федерации, возникновение чрезвычайных ситуаций техногенного характера, нанесение ущерба правам, законным интересам граждан, обороне страны и безопасности государства.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Вышеперечисленных случаев на 01.09.2023 </w:t>
      </w:r>
      <w:r>
        <w:rPr>
          <w:rFonts w:ascii="Times New Roman" w:hAnsi="Times New Roman"/>
          <w:sz w:val="28"/>
        </w:rPr>
        <w:t>не установлено.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Профилактические мероприятия реализуются в следующих формах: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Информирование. Перечень и тексты нормативных правовых актов, содержащих обязательные требования законодательства Российской Федерации в сфере заготовки, хранения, переработки и реализации лома черных металлов, цветных металлов размещаются на официальном сайте Департамента. При обращении в Департамент и проведении выездных оценок специалисты Департамента разъясняют нормы действующего законодательства, обращают внимание соискателей лицензий и лицензиатов на недопущение нарушений обязательных требований. 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и поддержания перечня и текстов нормативных правовых актов в актуальном состоянии Департаментом проводится мониторинг изменений нормативных правовых актов, включенных в перечень.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Обобщени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правоприменительной практики. </w:t>
      </w:r>
      <w:r>
        <w:rPr>
          <w:rFonts w:ascii="Times New Roman" w:hAnsi="Times New Roman"/>
          <w:sz w:val="28"/>
        </w:rPr>
        <w:t xml:space="preserve">В 2023 году проведено 1 публичное мероприятие по обсуждению правоприменительной практики при осуществлении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Обобщение правоприменительной практики </w:t>
      </w:r>
      <w:r>
        <w:rPr>
          <w:rFonts w:ascii="Times New Roman" w:hAnsi="Times New Roman"/>
          <w:sz w:val="28"/>
        </w:rPr>
        <w:t>в соответствии с планом мероприятий по профилактике нарушений обязательных требований проводилось</w:t>
      </w:r>
      <w:r>
        <w:rPr>
          <w:rFonts w:ascii="Times New Roman" w:hAnsi="Times New Roman"/>
          <w:sz w:val="28"/>
        </w:rPr>
        <w:t xml:space="preserve"> 1 раз до 01.03.2023 года. </w:t>
      </w:r>
      <w:r>
        <w:rPr>
          <w:rFonts w:ascii="Times New Roman" w:hAnsi="Times New Roman"/>
          <w:sz w:val="28"/>
        </w:rPr>
        <w:t xml:space="preserve">Информация размещена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официальном сайте Департамента.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Консультировани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Консультирование </w:t>
      </w:r>
      <w:r>
        <w:rPr>
          <w:rFonts w:ascii="Times New Roman" w:hAnsi="Times New Roman"/>
          <w:sz w:val="28"/>
        </w:rPr>
        <w:t>проводилось как по телефону, так и на личном приеме. Всего по состоянию на 01.09.2023 за консультацией обращались 6 раз.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Профилактически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визит. </w:t>
      </w:r>
      <w:r>
        <w:rPr>
          <w:rFonts w:ascii="Times New Roman" w:hAnsi="Times New Roman"/>
          <w:sz w:val="28"/>
        </w:rPr>
        <w:t xml:space="preserve">По состоянию на 01.09.2023 проведено 33 </w:t>
      </w:r>
      <w:r>
        <w:rPr>
          <w:rFonts w:ascii="Times New Roman" w:hAnsi="Times New Roman"/>
          <w:sz w:val="28"/>
        </w:rPr>
        <w:t>профилактических</w:t>
      </w:r>
      <w:r>
        <w:rPr>
          <w:rFonts w:ascii="Times New Roman" w:hAnsi="Times New Roman"/>
          <w:sz w:val="28"/>
        </w:rPr>
        <w:t xml:space="preserve"> визита.</w:t>
      </w:r>
      <w:r>
        <w:rPr>
          <w:rFonts w:ascii="Times New Roman" w:hAnsi="Times New Roman"/>
          <w:sz w:val="28"/>
        </w:rPr>
        <w:t xml:space="preserve"> От проведения 3 профилактических визитов 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подконтрольных субъекта отказались.</w:t>
      </w:r>
      <w:r>
        <w:rPr>
          <w:rFonts w:ascii="Times New Roman" w:hAnsi="Times New Roman"/>
          <w:sz w:val="28"/>
        </w:rPr>
        <w:t xml:space="preserve"> 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Объявление предостережения.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редостережения не объявлялись.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проблемами подконтрольной среды являются: 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низкий уровень правосознания подконтрольных субъектов, а также их пренебрежительное отношение к исполнению своих публично-правовых обязанностей; 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недостаточный контроль со стороны руководителей подконтрольных субъектов за исполнением должностных обязанностей сотрудниками.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Пути решения проблем: 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повышение уровня правосознания подконтрольных субъектов, а также формирование ответственного отношения к исполнению своих публично-правовых обязанностей; 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достаточного контроля со стороны руководителей подконтрольных субъектов за исполнением должностных обязанностей сотрудниками. 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Программы являются: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предупреждение </w:t>
      </w:r>
      <w:r>
        <w:rPr>
          <w:rFonts w:ascii="Times New Roman" w:hAnsi="Times New Roman"/>
          <w:sz w:val="28"/>
        </w:rPr>
        <w:t>нарушений</w:t>
      </w:r>
      <w:r>
        <w:rPr>
          <w:rFonts w:ascii="Times New Roman" w:hAnsi="Times New Roman"/>
          <w:sz w:val="28"/>
        </w:rPr>
        <w:t xml:space="preserve"> лицензиатами лицензионных требований, включая устранение причин, факторов и условий, способствующих возможному нарушению лицензионных требований;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мотивация лицензиатов к добросовестному поведению и, как следствие, снижение уровня ущерба охраняемым законом ценностям;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снижение административной нагрузки на подконтрольные субъекты.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Основная задача профилактического воздействия Программы состоит в том, чтобы создать комфортные условия и среду посредством доведения до субъектов предпринимательской деятельности информации об лицензионных требованиях в сфере заготовки, хранения, переработки, и реализации лома черных металлов, цветных металлов. 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вышеизложенного, основным ориентиром контрольно-надзорной деятельности в 2023 году являлось снижение административной нагрузки на добросовестный бизнес.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профилактики нарушений лицензионных требований показывает, что открытость лицензионных требований ведет к снижению их нарушений.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нформирование субъектов предпринимательской деятельности о наиболее часто встречающихся случаях нарушений лицензионных требований приводят к понятности лицензионных требований, обеспечива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их однозначное толкование субъектами контроля и контрольно-надзорным органом, </w:t>
      </w:r>
      <w:r>
        <w:rPr>
          <w:rFonts w:ascii="Times New Roman" w:hAnsi="Times New Roman"/>
          <w:sz w:val="28"/>
        </w:rPr>
        <w:t xml:space="preserve">повышение </w:t>
      </w:r>
      <w:r>
        <w:rPr>
          <w:rFonts w:ascii="Times New Roman" w:hAnsi="Times New Roman"/>
          <w:sz w:val="28"/>
        </w:rPr>
        <w:t xml:space="preserve">уровня вовлеченности субъектов контроля в регулярное взаимодействие с контрольно-надзорным органом. </w:t>
      </w:r>
    </w:p>
    <w:p w14:paraId="6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2. Цели и задачи реализации программы профилактики 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 Цели: 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предупреждение нарушений </w:t>
      </w:r>
      <w:r>
        <w:rPr>
          <w:rFonts w:ascii="Times New Roman" w:hAnsi="Times New Roman"/>
          <w:sz w:val="28"/>
        </w:rPr>
        <w:t xml:space="preserve">лицензионных </w:t>
      </w:r>
      <w:r>
        <w:rPr>
          <w:rFonts w:ascii="Times New Roman" w:hAnsi="Times New Roman"/>
          <w:sz w:val="28"/>
        </w:rPr>
        <w:t>требований в сфере заготовки, хранения, переработки и реализации лома черных металлов, цветных металлов;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предотвращение риска причинения вреда и снижение уровня ущерба охраняемым законом ценностям вследствие нарушений </w:t>
      </w:r>
      <w:r>
        <w:rPr>
          <w:rFonts w:ascii="Times New Roman" w:hAnsi="Times New Roman"/>
          <w:sz w:val="28"/>
        </w:rPr>
        <w:t>лицензионных</w:t>
      </w:r>
      <w:r>
        <w:rPr>
          <w:rFonts w:ascii="Times New Roman" w:hAnsi="Times New Roman"/>
          <w:sz w:val="28"/>
        </w:rPr>
        <w:t xml:space="preserve"> требований;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устранение существующих и потенциальных условий, причин и факторов, способных привести к нарушению </w:t>
      </w:r>
      <w:r>
        <w:rPr>
          <w:rFonts w:ascii="Times New Roman" w:hAnsi="Times New Roman"/>
          <w:sz w:val="28"/>
        </w:rPr>
        <w:t>лицензионных</w:t>
      </w:r>
      <w:r>
        <w:rPr>
          <w:rFonts w:ascii="Times New Roman" w:hAnsi="Times New Roman"/>
          <w:sz w:val="28"/>
        </w:rPr>
        <w:t xml:space="preserve"> требований и причинению вреда охраняемым законом ценностям; 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прозрачности системы контрольно-надзорной деятельности;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мотивация к добросовестному поведению и, как следствие, снижение уровня ущерба охраняемым законом ценностям.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Задачи: 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выявление на территории Ивановской области причин, факторов и условий, способствующих причинению вреда охраняемым законом ценностям и нарушению </w:t>
      </w:r>
      <w:r>
        <w:rPr>
          <w:rFonts w:ascii="Times New Roman" w:hAnsi="Times New Roman"/>
          <w:sz w:val="28"/>
        </w:rPr>
        <w:t>лицензионных</w:t>
      </w:r>
      <w:r>
        <w:rPr>
          <w:rFonts w:ascii="Times New Roman" w:hAnsi="Times New Roman"/>
          <w:sz w:val="28"/>
        </w:rPr>
        <w:t xml:space="preserve"> требований;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оптимизация системы консультирования подконтрольных субъектов, осуществляющих заготовку, хранение, переработку и реализацию лома черных металлов, цветных металлов, в том числе с использованием информационно-телекоммуникационных технологий;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комфортных условий и среды посредством доведения до субъектов предпринимательской деятельности</w:t>
      </w:r>
      <w:r>
        <w:rPr>
          <w:rFonts w:ascii="Times New Roman" w:hAnsi="Times New Roman"/>
          <w:sz w:val="28"/>
        </w:rPr>
        <w:t xml:space="preserve"> информации о</w:t>
      </w:r>
      <w:r>
        <w:rPr>
          <w:rFonts w:ascii="Times New Roman" w:hAnsi="Times New Roman"/>
          <w:sz w:val="28"/>
        </w:rPr>
        <w:t xml:space="preserve"> лицензионных требованиях в сфере заготовки, хранения, переработки и реализации лома черных металлов, цветных металлов. 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3. Перечень профилактических мероприятий, сроки (периодичность) их проведения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При осуществлении </w:t>
      </w:r>
      <w:r>
        <w:rPr>
          <w:rFonts w:ascii="Times New Roman" w:hAnsi="Times New Roman"/>
          <w:sz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</w:r>
      <w:r>
        <w:rPr>
          <w:rFonts w:ascii="Times New Roman" w:hAnsi="Times New Roman"/>
          <w:sz w:val="28"/>
        </w:rPr>
        <w:t>проводятся следующие виды профилактических мероприятий: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обобщение правоприменительной практики;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объявление предостережения;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консультирование;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профилактический визит.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3.2. </w:t>
      </w:r>
      <w:r>
        <w:rPr>
          <w:rStyle w:val="Style_3_ch"/>
          <w:rFonts w:ascii="Times New Roman" w:hAnsi="Times New Roman"/>
          <w:sz w:val="28"/>
        </w:rPr>
        <w:t xml:space="preserve">Информирование по вопросу лицензионного контроля осуществляется в порядке, установленном </w:t>
      </w:r>
      <w:r>
        <w:rPr>
          <w:rStyle w:val="Style_3_ch"/>
          <w:rFonts w:ascii="Times New Roman" w:hAnsi="Times New Roman"/>
          <w:sz w:val="28"/>
        </w:rPr>
        <w:t xml:space="preserve">Федеральным законом от 31.07.2020 № 248-ФЗ </w:t>
      </w:r>
      <w:r>
        <w:rPr>
          <w:rStyle w:val="Style_3_ch"/>
          <w:rFonts w:ascii="Times New Roman" w:hAnsi="Times New Roman"/>
          <w:sz w:val="28"/>
        </w:rPr>
        <w:t>«О государственном контроле (надзоре) и муниципальном контроле в Российской Федерации» (далее – Федеральный закон № 248-ФЗ).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по вопросам соблюдения лицензионных требований осуществляется посредством размещения сведений, предусмотренных Федеральным законом № 248-ФЗ, на официальном сайте Департамента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 </w:t>
      </w:r>
      <w:r>
        <w:rPr>
          <w:rFonts w:ascii="Times New Roman" w:hAnsi="Times New Roman"/>
          <w:sz w:val="28"/>
        </w:rPr>
        <w:t xml:space="preserve">Обобщение правоприменительной практики оформляется Департаментом ежегодно в виде доклада, который утверждается директором Департамента либо заместителем директора Департамента и представляется в электронной форме посредством государственной автоматизированной информационной системы «Управление» до 1 марта года, следующего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отчетным. Доклад размещается на официальном сайте Департамента в информационно-телекоммуникационной сети «Интернет» в течение 15 дней со дня представления такого доклада посредством государственной автоматизированной информационной системы «Управление».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</w:t>
      </w:r>
      <w:r>
        <w:rPr>
          <w:rFonts w:ascii="Times New Roman" w:hAnsi="Times New Roman"/>
          <w:sz w:val="28"/>
        </w:rPr>
        <w:t>В случае наличия у Департамента сведений о готовящихся нарушениях лицензионных требований или признаках нарушений лицензионных требований и (или) в случае отсутствия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лицензиату предостережение о недопустимости нарушения лицензионных требований (далее - предостережение) и предлагает принять меры по</w:t>
      </w:r>
      <w:r>
        <w:rPr>
          <w:rFonts w:ascii="Times New Roman" w:hAnsi="Times New Roman"/>
          <w:sz w:val="28"/>
        </w:rPr>
        <w:t xml:space="preserve"> обеспечению соблюдения лицензионных требований.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направлении предостережения принимает </w:t>
      </w:r>
      <w:r>
        <w:rPr>
          <w:rFonts w:ascii="Times New Roman" w:hAnsi="Times New Roman"/>
          <w:sz w:val="28"/>
        </w:rPr>
        <w:t>директор</w:t>
      </w:r>
      <w:r>
        <w:rPr>
          <w:rFonts w:ascii="Times New Roman" w:hAnsi="Times New Roman"/>
          <w:sz w:val="28"/>
        </w:rPr>
        <w:t xml:space="preserve"> либо заместитель </w:t>
      </w:r>
      <w:r>
        <w:rPr>
          <w:rFonts w:ascii="Times New Roman" w:hAnsi="Times New Roman"/>
          <w:sz w:val="28"/>
        </w:rPr>
        <w:t>директора</w:t>
      </w:r>
      <w:r>
        <w:rPr>
          <w:rFonts w:ascii="Times New Roman" w:hAnsi="Times New Roman"/>
          <w:sz w:val="28"/>
        </w:rPr>
        <w:t xml:space="preserve"> Департамента или иное уполномоченное приказом Департамента должностное лицо Департамента.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и объявление предостережения осуществляется в течение 5 дней со дня получения уполномоченным должностным лицом Департамента сведений, указанных в абзаце первом настоящего пункта.</w:t>
      </w:r>
    </w:p>
    <w:p w14:paraId="7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Лицензиат вправе подать в течение 10 дней со дня получения предостережения в Департамент, направивший предостережение, возражение, в котором указываются: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наименование юридического лица либо фамилия, имя, отчество (при наличии) индивидуального предпринимателя, номер контактного телефона, адрес электронной почты (при наличии) и почтовый адрес, по которым должен быть направлен ответ;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дата и номер предостережения;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обоснование позиции в отношении указанных в предостережении действий (бездействия) лицензиата, которые приводят или могут привести к нарушению лицензионных требований.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Возражения могут направляться лицензиатом в Департамент: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бумажном виде почтовым отправлением;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на указанный в предостережении адрес электронной почты Департамента - в виде электронного документа, подписанного с использованием простой электронной подписи, ключ которой получен физическим лицом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"consultantplus://offline/ref=12A2E3E35022F239AEA5F65322223F6B6AC65BEEB5E7CE5526B6E9D9B372B9B3592A60B70D81B949F645CB6F848BCFB19D92B349D66844A415wEI"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 по итогам рассмотрения возражения направляет лицензиату в течение 20 рабочих дней со дня получения возражений результаты рассмотрения возражений.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Специалисты отдела государственного контроля и лицензирования Департамента по обращениям лицензиатов осуществляют консультирование (дают разъяснения по вопросам, связанным с организацией и осуществлением лицензионного контроля).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 может осуществляться должностным лицом Департамента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Консультирование, включая письменное консультирование, осуществляется по следующим вопросам: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 и порядок проведения контрольных (надзорных) мероприятий;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обжалования решений Департамента, действий (бездействия) должностных лиц Департамента;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гарантии и защита прав лицензиатов.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Департамента.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 по однотипным обращениям (5 и более) лицензиатов и их представителей может осуществляться посредством размещения на официальном сайте Департамента в информационно – телекоммуникационной сети «Интернет» письменных разъяснений, подписанных руководителем Департамента, заместителем руководителя Департамента.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Уполномоченные должностные лица Департамента осуществляют учет консультаций.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</w:t>
      </w:r>
      <w:r>
        <w:rPr>
          <w:rFonts w:ascii="Times New Roman" w:hAnsi="Times New Roman"/>
          <w:sz w:val="28"/>
        </w:rPr>
        <w:t>Профилактический визит проводится должностным лицом Департамента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Обязательные профилактические визиты проводятся в отношении лицензиатов, приступающих к осуществлению деятельности по заготовке, </w:t>
      </w:r>
      <w:r>
        <w:rPr>
          <w:rFonts w:ascii="Times New Roman" w:hAnsi="Times New Roman"/>
          <w:sz w:val="28"/>
        </w:rPr>
        <w:t>хранению, переработке, реализации лома черных и (или) цветных металлов, а также в отношении объектов лицензионного контроля, отнесенных к категории высокого риска.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обязательного профилактического визита лицензиат информируется о лицензионных требованиях, предъявляемых к его деятельности, а также о периодичности и содержании контрольных (надзорных) мероприятий, проводимых в отношении объектов лицензионного контроля различных категорий риска.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обязательного профилактического визита должностным лицом Департамента может осуществляться консультирование лицензиата в порядке, установленном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"consultantplus://offline/ref=12A2E3E35022F239AEA5F65322223F6B6DCE55E3B7E2CE5526B6E9D9B372B9B3592A60B70D81BC4DF645CB6F848BCFB19D92B349D66844A415wEI"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50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248-ФЗ.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Лицензиат уведомляется о проведении обязательного профилактического визита не </w:t>
      </w:r>
      <w:r>
        <w:rPr>
          <w:rFonts w:ascii="Times New Roman" w:hAnsi="Times New Roman"/>
          <w:sz w:val="28"/>
        </w:rPr>
        <w:t>позднее</w:t>
      </w:r>
      <w:r>
        <w:rPr>
          <w:rFonts w:ascii="Times New Roman" w:hAnsi="Times New Roman"/>
          <w:sz w:val="28"/>
        </w:rPr>
        <w:t xml:space="preserve"> чем за 5 рабочих дней до дня его проведения. Срок проведения обязательного профилактического визита не может превышать 1 рабочий день.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Лицензиат вправе отказаться от проведения обязательного профилактического визита, уведомив об этом Департамент не </w:t>
      </w:r>
      <w:r>
        <w:rPr>
          <w:rStyle w:val="Style_3_ch"/>
          <w:rFonts w:ascii="Times New Roman" w:hAnsi="Times New Roman"/>
          <w:sz w:val="28"/>
        </w:rPr>
        <w:t>позднее</w:t>
      </w:r>
      <w:r>
        <w:rPr>
          <w:rStyle w:val="Style_3_ch"/>
          <w:rFonts w:ascii="Times New Roman" w:hAnsi="Times New Roman"/>
          <w:sz w:val="28"/>
        </w:rPr>
        <w:t xml:space="preserve"> чем за 3 рабочих дня до дня его проведения.</w:t>
      </w:r>
    </w:p>
    <w:p w14:paraId="9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Лицензиат вправе обратиться в Департамент с заявлением о проведении в отношении его профилактического визита.</w:t>
      </w:r>
    </w:p>
    <w:p w14:paraId="9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Порядок и сроки рассмотрения данного заявления установлены статьей 52 Федерального закона № 248-ФЗ.</w:t>
      </w:r>
    </w:p>
    <w:p w14:paraId="9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3.7. Ответственным за реализацию пр</w:t>
      </w:r>
      <w:r>
        <w:rPr>
          <w:rFonts w:ascii="Times New Roman" w:hAnsi="Times New Roman"/>
          <w:sz w:val="28"/>
        </w:rPr>
        <w:t>офилактических мероприятий является отдел государственного контроля и лицензирования Департамента.</w:t>
      </w:r>
    </w:p>
    <w:p w14:paraId="9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9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4. </w:t>
      </w:r>
      <w:r>
        <w:rPr>
          <w:rFonts w:ascii="Times New Roman" w:hAnsi="Times New Roman"/>
          <w:b w:val="1"/>
          <w:sz w:val="28"/>
        </w:rPr>
        <w:t>Показатели результативности и эффективности программы профилактики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Показателями результативности и эффективности программы профилактики на 2024 год являются:</w:t>
      </w:r>
    </w:p>
    <w:p w14:paraId="9E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tbl>
      <w:tblPr>
        <w:tblStyle w:val="Style_5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24"/>
        <w:gridCol w:w="5049"/>
        <w:gridCol w:w="3691"/>
      </w:tblGrid>
      <w:t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(индекс) показателя</w:t>
            </w:r>
          </w:p>
        </w:tc>
        <w:tc>
          <w:tcPr>
            <w:tcW w:type="dxa" w:w="5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 w:firstLine="0" w:left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показателя </w:t>
            </w:r>
          </w:p>
        </w:tc>
        <w:tc>
          <w:tcPr>
            <w:tcW w:type="dxa" w:w="3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Значения показателей</w:t>
            </w:r>
          </w:p>
        </w:tc>
      </w:tr>
      <w:t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 w:firstLine="0" w:left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на официальном сайте Департамента перечня актов, содержащих лицензионные требования</w:t>
            </w:r>
          </w:p>
        </w:tc>
        <w:tc>
          <w:tcPr>
            <w:tcW w:type="dxa" w:w="3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100 % </w:t>
            </w:r>
          </w:p>
          <w:p w14:paraId="A5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(от общего количества нормативных правовых актов, содержащих лицензионные требования)</w:t>
            </w:r>
          </w:p>
        </w:tc>
      </w:tr>
      <w:t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 w:firstLine="0" w:left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Обобщение практики осуществления лицензионного контроля </w:t>
            </w:r>
          </w:p>
        </w:tc>
        <w:tc>
          <w:tcPr>
            <w:tcW w:type="dxa" w:w="3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раза </w:t>
            </w:r>
            <w:r>
              <w:rPr>
                <w:rFonts w:ascii="Times New Roman" w:hAnsi="Times New Roman"/>
                <w:sz w:val="28"/>
              </w:rPr>
              <w:t>в год (ед.)</w:t>
            </w:r>
          </w:p>
        </w:tc>
      </w:tr>
      <w:t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 w:firstLine="0" w:left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обязательных профилактических визитов в отношении лицензиатов, приступающих к осуществлению деятельности</w:t>
            </w:r>
          </w:p>
        </w:tc>
        <w:tc>
          <w:tcPr>
            <w:tcW w:type="dxa" w:w="3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100 %</w:t>
            </w:r>
          </w:p>
          <w:p w14:paraId="AC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(от общего количества лицензиатов, приступающих к осуществлению деятельности и включенных в план проведения обязательных профилактических визитов на календарный год)</w:t>
            </w:r>
          </w:p>
        </w:tc>
      </w:tr>
      <w:t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5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 w:firstLine="0" w:left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случаев консультирования лицензиатов по вопросам соблюдения лицензионных требований в письменном виде в установленные сроки</w:t>
            </w:r>
          </w:p>
        </w:tc>
        <w:tc>
          <w:tcPr>
            <w:tcW w:type="dxa" w:w="3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5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 w:firstLine="0" w:left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Удовлетворенность подконтрольных субъектов уровнем проведения Департаментом профилактических мероприятий*</w:t>
            </w:r>
          </w:p>
        </w:tc>
        <w:tc>
          <w:tcPr>
            <w:tcW w:type="dxa" w:w="3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80% </w:t>
            </w:r>
          </w:p>
          <w:p w14:paraId="B3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(от общего количества </w:t>
            </w:r>
            <w:r>
              <w:rPr>
                <w:rFonts w:ascii="Times New Roman" w:hAnsi="Times New Roman"/>
                <w:sz w:val="28"/>
              </w:rPr>
              <w:t>опрошенных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</w:tbl>
    <w:p w14:paraId="B4000000">
      <w:pPr>
        <w:spacing w:after="0" w:line="240" w:lineRule="auto"/>
        <w:ind w:firstLine="709" w:left="-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*Оценка результативности и эффективности профилактических мероприятий проводятся методом опроса (анкетирования) представителей подконтрольных субъектов по направлениям, определяющих уровень удовлетворенности подконтрольных субъектов качеством проводимых профилактических мероприятий по следующим показателям:</w:t>
      </w:r>
    </w:p>
    <w:p w14:paraId="B5000000">
      <w:pPr>
        <w:spacing w:after="0" w:line="240" w:lineRule="auto"/>
        <w:ind w:firstLine="709" w:left="-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- информированность подконтрольных субъектов о лицензионных требованиях, о принятых и готовящихся изменениях в системе лицензионных требований, о порядке проведения проверок, правах подконтрольного субъекта при проведении контрольных мероприятий;</w:t>
      </w:r>
    </w:p>
    <w:p w14:paraId="B6000000">
      <w:pPr>
        <w:spacing w:after="0" w:line="240" w:lineRule="auto"/>
        <w:ind w:firstLine="709" w:left="-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- снижение количества зафиксированных нарушений лицензионных требований;</w:t>
      </w:r>
    </w:p>
    <w:p w14:paraId="B7000000">
      <w:pPr>
        <w:spacing w:after="0" w:line="240" w:lineRule="auto"/>
        <w:ind w:firstLine="709" w:left="-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- удовлетворенность подконтрольных субъектов проводимыми профилактическими мероприятиями по профилактике нарушений;</w:t>
      </w:r>
    </w:p>
    <w:p w14:paraId="B8000000">
      <w:pPr>
        <w:spacing w:after="0" w:line="240" w:lineRule="auto"/>
        <w:ind w:firstLine="709" w:left="-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- удовлетворенность подконтрольных субъектов доступностью на официальном сайте информации о лицензионных требованиях, об изменениях федеральных нормативных правовых актов, нормативных правовых актах Ивановской области, о сроках и порядке их вступления в законную силу, рекомендации о проведении необходимых организационных, мероприятий, направленных на внедрение и обеспечение соблюдения лицензионных требований.</w:t>
      </w:r>
    </w:p>
    <w:p w14:paraId="B9000000">
      <w:pPr>
        <w:spacing w:after="0" w:line="240" w:lineRule="auto"/>
        <w:ind w:firstLine="0" w:left="567"/>
        <w:jc w:val="both"/>
        <w:rPr>
          <w:rFonts w:ascii="Times New Roman" w:hAnsi="Times New Roman"/>
          <w:sz w:val="28"/>
        </w:rPr>
      </w:pPr>
    </w:p>
    <w:p w14:paraId="BA000000">
      <w:pPr>
        <w:spacing w:after="0" w:line="240" w:lineRule="auto"/>
        <w:ind w:firstLine="0" w:left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5. План мероприятий по профилактике нарушений </w:t>
      </w:r>
    </w:p>
    <w:p w14:paraId="BB000000">
      <w:pPr>
        <w:spacing w:after="0" w:line="240" w:lineRule="auto"/>
        <w:ind w:firstLine="0" w:left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2024 год</w:t>
      </w:r>
    </w:p>
    <w:p w14:paraId="BC000000">
      <w:pPr>
        <w:spacing w:after="0" w:line="240" w:lineRule="auto"/>
        <w:ind w:firstLine="0" w:left="567" w:right="142"/>
        <w:rPr>
          <w:rFonts w:ascii="Times New Roman" w:hAnsi="Times New Roman"/>
          <w:sz w:val="28"/>
        </w:rPr>
      </w:pPr>
    </w:p>
    <w:tbl>
      <w:tblPr>
        <w:tblStyle w:val="Style_5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4"/>
        <w:gridCol w:w="2871"/>
        <w:gridCol w:w="2255"/>
        <w:gridCol w:w="2461"/>
        <w:gridCol w:w="2324"/>
      </w:tblGrid>
      <w:t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 w:firstLine="0" w:left="34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/п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Описание мероприятия</w:t>
            </w: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Сроки (периодичность) проведения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Ожидаемые результаты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Исполнитель</w:t>
            </w:r>
          </w:p>
        </w:tc>
      </w:tr>
      <w:t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spacing w:after="0" w:line="240" w:lineRule="auto"/>
              <w:ind w:firstLine="0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Информирование </w:t>
            </w: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(по мере необходимости)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государственно-го контроля </w:t>
            </w:r>
          </w:p>
          <w:p w14:paraId="C7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лицензирования</w:t>
            </w:r>
          </w:p>
        </w:tc>
      </w:tr>
      <w:t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spacing w:after="0" w:line="240" w:lineRule="auto"/>
              <w:ind w:firstLine="0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Обобщение правоприменительной практики </w:t>
            </w:r>
          </w:p>
          <w:p w14:paraId="CA000000">
            <w:pPr>
              <w:widowControl w:val="0"/>
              <w:spacing w:after="0" w:line="240" w:lineRule="auto"/>
              <w:ind w:firstLine="0" w:left="3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раз в </w:t>
            </w: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 и снижение количества нарушений лицензионных требований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государственно-го контроля </w:t>
            </w:r>
          </w:p>
          <w:p w14:paraId="CE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лицензирования</w:t>
            </w:r>
          </w:p>
        </w:tc>
      </w:tr>
      <w:t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spacing w:after="0" w:line="240" w:lineRule="auto"/>
              <w:ind w:firstLine="0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Объявление предостережения </w:t>
            </w: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</w:t>
            </w:r>
            <w:r>
              <w:rPr>
                <w:rFonts w:ascii="Times New Roman" w:hAnsi="Times New Roman"/>
                <w:sz w:val="28"/>
              </w:rPr>
              <w:t xml:space="preserve">в случае наличия сведений о готовящихся нарушениях или признаках нарушений и (или) в случае отсутствия подтвержденных данных о том, что </w:t>
            </w:r>
            <w:r>
              <w:rPr>
                <w:rFonts w:ascii="Times New Roman" w:hAnsi="Times New Roman"/>
                <w:sz w:val="28"/>
              </w:rPr>
              <w:t>нарушение лицензионных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предостережений подконтрольным субъектам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государственно-го контроля </w:t>
            </w:r>
          </w:p>
          <w:p w14:paraId="D4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лицензирования</w:t>
            </w:r>
          </w:p>
        </w:tc>
      </w:tr>
      <w:t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line="240" w:lineRule="auto"/>
              <w:ind w:firstLine="0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Консультирование </w:t>
            </w: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widowControl w:val="0"/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государственно-го контроля </w:t>
            </w:r>
          </w:p>
          <w:p w14:paraId="DA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лицензирования </w:t>
            </w:r>
          </w:p>
        </w:tc>
      </w:tr>
      <w:tr>
        <w:trPr>
          <w:trHeight w:hRule="atLeast" w:val="744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spacing w:after="0" w:line="240" w:lineRule="auto"/>
              <w:ind w:firstLine="0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Профилактический визит </w:t>
            </w: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(по заявлению, либо в обязательном порядке</w:t>
            </w:r>
            <w:r>
              <w:rPr>
                <w:rFonts w:ascii="Times New Roman" w:hAnsi="Times New Roman"/>
                <w:sz w:val="28"/>
              </w:rPr>
              <w:t>*</w:t>
            </w:r>
            <w:r>
              <w:rPr>
                <w:rFonts w:ascii="Times New Roman" w:hAnsi="Times New Roman"/>
                <w:sz w:val="28"/>
              </w:rPr>
              <w:t xml:space="preserve"> в случае, если </w:t>
            </w:r>
            <w:r>
              <w:rPr>
                <w:rFonts w:ascii="Times New Roman" w:hAnsi="Times New Roman"/>
                <w:sz w:val="28"/>
              </w:rPr>
              <w:t>контролируемое лицо только приступает к осуществлению деятельности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spacing w:after="0" w:line="240" w:lineRule="auto"/>
              <w:ind w:firstLine="0" w:left="3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Доведение необходимой информации. Получение актуальной информации подконтрольными субъектами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государственно-го контроля </w:t>
            </w:r>
          </w:p>
          <w:p w14:paraId="E0000000">
            <w:pPr>
              <w:widowControl w:val="0"/>
              <w:spacing w:after="0" w:line="240" w:lineRule="auto"/>
              <w:ind w:firstLine="0"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лицензирования</w:t>
            </w:r>
          </w:p>
        </w:tc>
      </w:tr>
    </w:tbl>
    <w:p w14:paraId="E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16"/>
        </w:rPr>
        <w:t>*Согласно графику проведения обязательных профилактических визитов в I квартале 2024 года в отношении контролируемых лиц, приступивших в 2023 году к осуществлению деятельности по заготовке, хранению, переработке и реализации лома черных металлов, цветных металлов, являющегося приложением к настоящей</w:t>
      </w:r>
      <w:r>
        <w:rPr>
          <w:rFonts w:ascii="Times New Roman" w:hAnsi="Times New Roman"/>
          <w:sz w:val="16"/>
        </w:rPr>
        <w:t xml:space="preserve"> Программе профилактики</w:t>
      </w:r>
      <w:r>
        <w:rPr>
          <w:rFonts w:ascii="Times New Roman" w:hAnsi="Times New Roman"/>
          <w:sz w:val="16"/>
        </w:rPr>
        <w:t>.</w:t>
      </w:r>
    </w:p>
    <w:p w14:paraId="E2000000">
      <w:pPr>
        <w:spacing w:after="0" w:line="240" w:lineRule="auto"/>
        <w:ind w:firstLine="709" w:left="-709"/>
        <w:jc w:val="both"/>
        <w:rPr>
          <w:rFonts w:ascii="Times New Roman" w:hAnsi="Times New Roman"/>
          <w:sz w:val="16"/>
        </w:rPr>
      </w:pPr>
    </w:p>
    <w:p w14:paraId="E3000000">
      <w:pPr>
        <w:spacing w:after="0" w:line="240" w:lineRule="auto"/>
        <w:ind w:firstLine="709" w:left="567"/>
        <w:jc w:val="both"/>
        <w:rPr>
          <w:rFonts w:ascii="Times New Roman" w:hAnsi="Times New Roman"/>
          <w:sz w:val="28"/>
        </w:rPr>
      </w:pPr>
    </w:p>
    <w:p w14:paraId="E4000000">
      <w:pPr>
        <w:spacing w:after="0" w:line="240" w:lineRule="auto"/>
        <w:ind w:firstLine="709" w:left="-850"/>
        <w:jc w:val="both"/>
        <w:rPr>
          <w:rFonts w:ascii="Times New Roman" w:hAnsi="Times New Roman"/>
          <w:sz w:val="28"/>
        </w:rPr>
      </w:pPr>
    </w:p>
    <w:p w14:paraId="E5000000">
      <w:pPr>
        <w:widowControl w:val="1"/>
        <w:spacing w:after="0" w:line="240" w:lineRule="auto"/>
        <w:ind w:firstLine="0" w:left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к П</w:t>
      </w:r>
      <w:r>
        <w:rPr>
          <w:rFonts w:ascii="Times New Roman" w:hAnsi="Times New Roman"/>
          <w:sz w:val="28"/>
        </w:rPr>
        <w:t>рограмме профилактики</w:t>
      </w:r>
    </w:p>
    <w:p w14:paraId="E6000000">
      <w:pPr>
        <w:widowControl w:val="1"/>
        <w:spacing w:after="0" w:line="240" w:lineRule="auto"/>
        <w:ind w:firstLine="0" w:left="4820"/>
        <w:jc w:val="right"/>
        <w:rPr>
          <w:rFonts w:ascii="Times New Roman" w:hAnsi="Times New Roman"/>
          <w:sz w:val="28"/>
        </w:rPr>
      </w:pPr>
    </w:p>
    <w:p w14:paraId="E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 </w:t>
      </w: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 xml:space="preserve"> А Ф И К</w:t>
      </w:r>
    </w:p>
    <w:p w14:paraId="E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проведения обязательных профилактических визитов в I квартале 2024 года в отношении контролируемых лиц, приступивших в 2023 году к осуществлению деятельности по заготовке, хранению, переработке и реализации лома черных металлов, цветных металлов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6"/>
        <w:gridCol w:w="2871"/>
        <w:gridCol w:w="3401"/>
        <w:gridCol w:w="2862"/>
      </w:tblGrid>
      <w:tr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лицензиата</w:t>
            </w: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и дата выдачи лицензии</w:t>
            </w:r>
          </w:p>
        </w:tc>
        <w:tc>
          <w:tcPr>
            <w:tcW w:type="dxa" w:w="2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Предполагаемая дата проведения обязательного профилактического визита</w:t>
            </w:r>
          </w:p>
        </w:tc>
      </w:tr>
      <w:tr>
        <w:trPr>
          <w:trHeight w:hRule="atLeast" w:val="208"/>
        </w:trPr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3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ООО «ПОБЕДА»</w:t>
            </w: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3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№ Л028-01056-37/00683088 </w:t>
            </w:r>
            <w:r>
              <w:rPr>
                <w:b w:val="0"/>
                <w:color w:val="000000"/>
                <w:sz w:val="28"/>
              </w:rPr>
              <w:t>от 22.09.2023</w:t>
            </w:r>
          </w:p>
        </w:tc>
        <w:tc>
          <w:tcPr>
            <w:tcW w:type="dxa" w:w="2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I квартал 2024 </w:t>
            </w:r>
          </w:p>
        </w:tc>
      </w:tr>
      <w:tr>
        <w:trPr>
          <w:trHeight w:hRule="atLeast" w:val="208"/>
        </w:trPr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3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2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3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ООО «ПРЕМЬЕР»</w:t>
            </w: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3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№ Л028-01056-37/00683120 от 22.09.2023</w:t>
            </w:r>
          </w:p>
        </w:tc>
        <w:tc>
          <w:tcPr>
            <w:tcW w:type="dxa" w:w="2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3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I квартал 2024 </w:t>
            </w:r>
          </w:p>
        </w:tc>
      </w:tr>
      <w:tr>
        <w:trPr>
          <w:trHeight w:hRule="atLeast" w:val="579"/>
          <w:hidden w:val="0"/>
        </w:trPr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3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3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3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ООО «АТЛАНТ»</w:t>
            </w: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3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№ Л028-01056-37/00683183 от 22.09.2023</w:t>
            </w:r>
          </w:p>
        </w:tc>
        <w:tc>
          <w:tcPr>
            <w:tcW w:type="dxa" w:w="2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3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I квартал 2024 </w:t>
            </w:r>
          </w:p>
        </w:tc>
      </w:tr>
      <w:tr>
        <w:trPr>
          <w:trHeight w:hRule="atLeast" w:val="208"/>
        </w:trPr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3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4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3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ООО «ОЛИМП»</w:t>
            </w: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3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№ Л028-01056-37/00683146 от 22.09.2023</w:t>
            </w:r>
          </w:p>
        </w:tc>
        <w:tc>
          <w:tcPr>
            <w:tcW w:type="dxa" w:w="2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3"/>
              <w:ind/>
              <w:jc w:val="center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I квартал 2024 </w:t>
            </w:r>
          </w:p>
        </w:tc>
      </w:tr>
    </w:tbl>
    <w:p w14:paraId="FD000000"/>
    <w:sectPr>
      <w:headerReference r:id="rId1" w:type="default"/>
      <w:pgSz w:h="16838" w:orient="portrait" w:w="11906"/>
      <w:pgMar w:bottom="567" w:footer="709" w:gutter="0" w:header="709" w:left="1134" w:right="851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1"/>
    <w:basedOn w:val="Style_3"/>
    <w:link w:val="Style_8_ch"/>
    <w:pPr>
      <w:spacing w:afterAutospacing="on" w:beforeAutospacing="on"/>
      <w:ind/>
    </w:pPr>
    <w:rPr>
      <w:rFonts w:ascii="Tahoma" w:hAnsi="Tahoma"/>
      <w:sz w:val="20"/>
    </w:rPr>
  </w:style>
  <w:style w:styleId="Style_8_ch" w:type="character">
    <w:name w:val="1"/>
    <w:basedOn w:val="Style_3_ch"/>
    <w:link w:val="Style_8"/>
    <w:rPr>
      <w:rFonts w:ascii="Tahoma" w:hAnsi="Tahoma"/>
      <w:sz w:val="20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1" w:type="paragraph">
    <w:name w:val="Body Text"/>
    <w:basedOn w:val="Style_3"/>
    <w:link w:val="Style_11_ch"/>
    <w:pPr>
      <w:ind w:right="-285"/>
    </w:pPr>
    <w:rPr>
      <w:sz w:val="28"/>
    </w:rPr>
  </w:style>
  <w:style w:styleId="Style_11_ch" w:type="character">
    <w:name w:val="Body Text"/>
    <w:basedOn w:val="Style_3_ch"/>
    <w:link w:val="Style_11"/>
    <w:rPr>
      <w:sz w:val="28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Plain Text"/>
    <w:basedOn w:val="Style_3"/>
    <w:link w:val="Style_16_ch"/>
    <w:rPr>
      <w:rFonts w:ascii="Courier New" w:hAnsi="Courier New"/>
      <w:sz w:val="20"/>
    </w:rPr>
  </w:style>
  <w:style w:styleId="Style_16_ch" w:type="character">
    <w:name w:val="Plain Text"/>
    <w:basedOn w:val="Style_3_ch"/>
    <w:link w:val="Style_16"/>
    <w:rPr>
      <w:rFonts w:ascii="Courier New" w:hAnsi="Courier New"/>
      <w:sz w:val="20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4" w:type="paragraph">
    <w:name w:val="heading 1"/>
    <w:basedOn w:val="Style_3"/>
    <w:next w:val="Style_3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3_ch"/>
    <w:link w:val="Style_4"/>
    <w:rPr>
      <w:rFonts w:ascii="Arial" w:hAnsi="Arial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List Paragraph"/>
    <w:basedOn w:val="Style_3"/>
    <w:link w:val="Style_22_ch"/>
    <w:pPr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HTML Preformatted"/>
    <w:basedOn w:val="Style_3"/>
    <w:link w:val="Style_2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18"/>
    </w:rPr>
  </w:style>
  <w:style w:styleId="Style_23_ch" w:type="character">
    <w:name w:val="HTML Preformatted"/>
    <w:basedOn w:val="Style_3_ch"/>
    <w:link w:val="Style_23"/>
    <w:rPr>
      <w:rFonts w:ascii="Courier New" w:hAnsi="Courier New"/>
      <w:sz w:val="18"/>
    </w:rPr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footer"/>
    <w:basedOn w:val="Style_3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3_ch"/>
    <w:link w:val="Style_25"/>
  </w:style>
  <w:style w:styleId="Style_26" w:type="paragraph">
    <w:name w:val="Balloon Text"/>
    <w:basedOn w:val="Style_3"/>
    <w:link w:val="Style_26_ch"/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styleId="Style_27" w:type="paragraph">
    <w:name w:val="toc 8"/>
    <w:next w:val="Style_3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PlusNormal"/>
    <w:link w:val="Style_29_ch"/>
    <w:pPr>
      <w:widowControl w:val="0"/>
      <w:spacing w:after="0" w:line="240" w:lineRule="auto"/>
      <w:ind/>
    </w:pPr>
    <w:rPr>
      <w:rFonts w:ascii="Calibri" w:hAnsi="Calibri"/>
    </w:rPr>
  </w:style>
  <w:style w:styleId="Style_29_ch" w:type="character">
    <w:name w:val="ConsPlusNormal"/>
    <w:link w:val="Style_29"/>
    <w:rPr>
      <w:rFonts w:ascii="Calibri" w:hAnsi="Calibri"/>
    </w:rPr>
  </w:style>
  <w:style w:styleId="Style_30" w:type="paragraph">
    <w:name w:val="Обычный1"/>
    <w:link w:val="Style_30_ch"/>
    <w:rPr>
      <w:rFonts w:ascii="Times New Roman" w:hAnsi="Times New Roman"/>
      <w:sz w:val="24"/>
    </w:rPr>
  </w:style>
  <w:style w:styleId="Style_30_ch" w:type="character">
    <w:name w:val="Обычный1"/>
    <w:link w:val="Style_30"/>
    <w:rPr>
      <w:rFonts w:ascii="Times New Roman" w:hAnsi="Times New Roman"/>
      <w:sz w:val="24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Subtitle"/>
    <w:next w:val="Style_3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3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ConsPlusTitle"/>
    <w:link w:val="Style_3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5_ch" w:type="character">
    <w:name w:val="ConsPlusTitle"/>
    <w:link w:val="Style_35"/>
    <w:rPr>
      <w:rFonts w:ascii="Calibri" w:hAnsi="Calibri"/>
      <w:b w:val="1"/>
    </w:rPr>
  </w:style>
  <w:style w:styleId="Style_2" w:type="paragraph">
    <w:name w:val="heading 2"/>
    <w:basedOn w:val="Style_3"/>
    <w:next w:val="Style_3"/>
    <w:link w:val="Style_2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_ch" w:type="character">
    <w:name w:val="heading 2"/>
    <w:basedOn w:val="Style_3_ch"/>
    <w:link w:val="Style_2"/>
    <w:rPr>
      <w:rFonts w:asciiTheme="majorAscii" w:hAnsiTheme="majorHAnsi"/>
      <w:b w:val="1"/>
      <w:color w:themeColor="accent1" w:val="4F81BD"/>
      <w:sz w:val="2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2023-09-22T09:12:49Z</dcterms:modified>
</cp:coreProperties>
</file>