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29"/>
        <w:gridCol w:w="9578"/>
      </w:tblGrid>
      <w:tr>
        <w:tc>
          <w:tcPr>
            <w:tcW w:type="dxa" w:w="10207"/>
            <w:gridSpan w:val="2"/>
            <w:tcMar>
              <w:left w:type="dxa" w:w="0"/>
              <w:right w:type="dxa" w:w="0"/>
            </w:tcMar>
          </w:tcPr>
          <w:p w14:paraId="0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Par416"/>
            <w:bookmarkEnd w:id="1"/>
            <w:r>
              <w:rPr>
                <w:rFonts w:ascii="Times New Roman" w:hAnsi="Times New Roman"/>
                <w:sz w:val="24"/>
              </w:rPr>
              <w:t>СВОДНЫЙ ОТЧЕТ</w:t>
            </w:r>
          </w:p>
          <w:p w14:paraId="0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проведении оценки регулирующего воздействия в отношении проекта нормативного правового акта Ивановской области</w:t>
            </w:r>
          </w:p>
          <w:p w14:paraId="0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207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4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Общая информация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0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957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Разработчик проекта нормативного правового акта Ивановской области (далее - проект нормативного </w:t>
            </w:r>
            <w:r>
              <w:rPr>
                <w:rFonts w:ascii="Times New Roman" w:hAnsi="Times New Roman"/>
                <w:sz w:val="24"/>
              </w:rPr>
              <w:t>правового акта):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Департамент экономического развития и торговли Ивановской области (далее - Департамент)</w:t>
            </w:r>
          </w:p>
        </w:tc>
      </w:tr>
      <w:tr>
        <w:tc>
          <w:tcPr>
            <w:tcW w:type="dxa" w:w="629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0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957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соисполнителях: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Нет</w:t>
            </w:r>
          </w:p>
        </w:tc>
      </w:tr>
      <w:tr>
        <w:tc>
          <w:tcPr>
            <w:tcW w:type="dxa" w:w="629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0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957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наименование</w:t>
            </w:r>
            <w:r>
              <w:rPr>
                <w:rFonts w:ascii="Times New Roman" w:hAnsi="Times New Roman"/>
                <w:sz w:val="24"/>
              </w:rPr>
              <w:t xml:space="preserve"> проекта нормативного правового акта: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Проект закона Ивановской области «О развитии ответственного ведения бизнеса </w:t>
            </w:r>
            <w:r>
              <w:rPr>
                <w:rFonts w:ascii="Times New Roman" w:hAnsi="Times New Roman"/>
                <w:sz w:val="24"/>
                <w:u w:val="none"/>
              </w:rPr>
              <w:t>в Ивановской области»</w:t>
            </w:r>
          </w:p>
        </w:tc>
      </w:tr>
      <w:tr>
        <w:tc>
          <w:tcPr>
            <w:tcW w:type="dxa" w:w="629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0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957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Отсутствие законодательного определения понятия ответственного бизнеса, не урегулированы вопросы взаимодействия органов исполнительной власти, органов местного самоуправления и юридических лиц при реализации проектов направленных на социально-экономическое, инвестиционное развитие Владимирской области и достижение национальных целей развития Российской Федерации.</w:t>
            </w:r>
          </w:p>
        </w:tc>
      </w:tr>
      <w:tr>
        <w:tc>
          <w:tcPr>
            <w:tcW w:type="dxa" w:w="629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1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957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разработки проекта нормативного правового акта: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00000">
            <w:pPr>
              <w:ind w:firstLine="709"/>
              <w:jc w:val="both"/>
              <w:rPr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Решение Инвестиционного совета Центрального федерального округа (протокол заседания </w:t>
            </w:r>
            <w:r>
              <w:rPr>
                <w:rFonts w:ascii="Times New Roman" w:hAnsi="Times New Roman"/>
                <w:u w:val="none"/>
              </w:rPr>
              <w:t>от</w:t>
            </w:r>
            <w:r>
              <w:rPr>
                <w:rFonts w:ascii="Times New Roman" w:hAnsi="Times New Roman"/>
                <w:u w:val="none"/>
              </w:rPr>
              <w:t xml:space="preserve"> 11.04.2024), поручение Губернатора Ивановской области Воскресенского С.С. от 27.05.2024</w:t>
            </w:r>
          </w:p>
        </w:tc>
      </w:tr>
      <w:tr>
        <w:trPr>
          <w:trHeight w:hRule="atLeast" w:val="257"/>
          <w:hidden w:val="0"/>
        </w:trPr>
        <w:tc>
          <w:tcPr>
            <w:tcW w:type="dxa" w:w="629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1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957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целей предлагаемого правового регулирования: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00000">
            <w:pPr>
              <w:ind w:firstLine="709"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Регулирование отношений, возникающих в сфере развития ответственного ведения бизнеса в</w:t>
            </w:r>
            <w:r>
              <w:rPr>
                <w:rFonts w:ascii="Times New Roman" w:hAnsi="Times New Roman"/>
                <w:sz w:val="24"/>
              </w:rPr>
              <w:t> Ивановской</w:t>
            </w:r>
            <w:r>
              <w:rPr>
                <w:rFonts w:ascii="Times New Roman" w:hAnsi="Times New Roman"/>
                <w:sz w:val="24"/>
              </w:rPr>
              <w:t xml:space="preserve"> области</w:t>
            </w:r>
          </w:p>
        </w:tc>
      </w:tr>
      <w:tr>
        <w:tc>
          <w:tcPr>
            <w:tcW w:type="dxa" w:w="629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957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предлагаемого способа правового регулирования:</w:t>
            </w:r>
          </w:p>
        </w:tc>
      </w:tr>
      <w:tr>
        <w:trPr>
          <w:trHeight w:hRule="atLeast" w:val="518"/>
        </w:trP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Заинтересованные юридические лица при реализации различных проектов, в т.ч. расширении деятельности взаимодействуют с органами исполнительной власти и органами местного самоуправлению по получению различных разрешительных и согласующих документов. Процедуры имеют затратный характер по времени и перечню предоставляемых документов. Есть запрос на упрощение порядка взаимодействия государства и бизнеса в случае подтверждения со стороны последнего ответственного отношения к решению социальных, экологических и общегосударственных задач.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957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 информация исполнителя разработчика:</w:t>
            </w:r>
          </w:p>
        </w:tc>
      </w:tr>
      <w:tr>
        <w:tc>
          <w:tcPr>
            <w:tcW w:type="dxa" w:w="102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 (при наличии)): Алешин Андрей Александрович</w:t>
            </w:r>
          </w:p>
        </w:tc>
      </w:tr>
      <w:tr>
        <w:tc>
          <w:tcPr>
            <w:tcW w:type="dxa" w:w="102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Должность: главный консультант управления промышленности и инвестиций</w:t>
            </w:r>
          </w:p>
        </w:tc>
      </w:tr>
      <w:tr>
        <w:tc>
          <w:tcPr>
            <w:tcW w:type="dxa" w:w="102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32-83-47</w:t>
            </w:r>
          </w:p>
        </w:tc>
      </w:tr>
      <w:tr>
        <w:trPr>
          <w:trHeight w:hRule="atLeast" w:val="200"/>
        </w:trPr>
        <w:tc>
          <w:tcPr>
            <w:tcW w:type="dxa" w:w="102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 aleshin_aa@ivreg.ru</w:t>
            </w:r>
          </w:p>
        </w:tc>
      </w:tr>
    </w:tbl>
    <w:p w14:paraId="20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5238"/>
        <w:gridCol w:w="4198"/>
      </w:tblGrid>
      <w:tr>
        <w:tc>
          <w:tcPr>
            <w:tcW w:type="dxa" w:w="10207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1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Степень регулирующего воздействия проекта </w:t>
            </w:r>
            <w:r>
              <w:rPr>
                <w:rFonts w:ascii="Times New Roman" w:hAnsi="Times New Roman"/>
                <w:sz w:val="24"/>
              </w:rPr>
              <w:t>нормативного правового акта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2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23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type="dxa" w:w="4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Высокая</w:t>
            </w:r>
          </w:p>
        </w:tc>
      </w:tr>
      <w:tr>
        <w:tc>
          <w:tcPr>
            <w:tcW w:type="dxa" w:w="771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9436"/>
            <w:gridSpan w:val="2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>
        <w:trPr>
          <w:trHeight w:hRule="atLeast" w:val="592"/>
        </w:trPr>
        <w:tc>
          <w:tcPr>
            <w:tcW w:type="dxa" w:w="10207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00000">
            <w:pPr>
              <w:ind w:firstLine="709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Проект нормативного правового акта содержит положения, устанавливающие новые обязанности и запреты для субъектов предпринимательской и инвестиционной деятельности</w:t>
            </w:r>
          </w:p>
        </w:tc>
      </w:tr>
    </w:tbl>
    <w:p w14:paraId="28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Mar>
              <w:left w:type="dxa" w:w="0"/>
              <w:right w:type="dxa" w:w="0"/>
            </w:tcMar>
          </w:tcPr>
          <w:p w14:paraId="29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Описание проблемы, на решение которой направлен предлагаемый способ регулирования, оценк</w:t>
            </w:r>
            <w:r>
              <w:rPr>
                <w:rFonts w:ascii="Times New Roman" w:hAnsi="Times New Roman"/>
                <w:sz w:val="24"/>
              </w:rPr>
              <w:t>а негативных эффектов, возникающих в связи с наличием рассматриваемой проблемы</w:t>
            </w:r>
          </w:p>
        </w:tc>
      </w:tr>
    </w:tbl>
    <w:p w14:paraId="2A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9436"/>
      </w:tblGrid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>
        <w:trPr>
          <w:trHeight w:hRule="atLeast" w:val="234"/>
        </w:trP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Заинтересованные юридические лица при реализации различных проектов, в т.ч. расширении деятельности взаимодействуют с органами исполнительной власти и органами местного самоуправлению по получению различных разрешительных и согласующих документов. Процедуры имеют затратный характер по времени и перечню предоставляемых документов. Есть запрос на упрощение порядка взаимодействия государства и бизнеса в случае подтверждения со стороны последнего ответственного отношения к решению социальных, экологических и общегосударственных задач.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эффекты, возникающие в связи с наличием проблемы: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Негативное влияние на </w:t>
            </w:r>
            <w:r>
              <w:rPr>
                <w:rFonts w:ascii="Times New Roman" w:hAnsi="Times New Roman"/>
                <w:sz w:val="24"/>
                <w:u w:val="none"/>
              </w:rPr>
              <w:t>стабильность, социально-экономическое и инвестиционное развитие Ивановской области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возникновении, выявлении проблемы</w:t>
            </w:r>
            <w:r>
              <w:rPr>
                <w:rFonts w:ascii="Times New Roman" w:hAnsi="Times New Roman"/>
                <w:sz w:val="24"/>
              </w:rPr>
              <w:t>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В целях обеспечения социально-экономической стабильности, а также защиты населения в Российской Федерации, в том числе в связи с введением в отношении Российской Федерации, ее граждан либо юридических лиц политических, экономических, иных санкций и (или) прекращением деятельности работодателей принят Указ Президента Российской Федерации от 16.03.2022 № 121 «О мерах по обеспечению социально-экономической стабильности и защиты населения в Российской Федерации».</w:t>
            </w:r>
          </w:p>
          <w:p w14:paraId="34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Проект закона Ивановской области «О развитии ответственного ведения бизнеса </w:t>
            </w:r>
            <w:r>
              <w:rPr>
                <w:rFonts w:ascii="Times New Roman" w:hAnsi="Times New Roman"/>
                <w:sz w:val="24"/>
                <w:u w:val="none"/>
              </w:rPr>
              <w:t>в Ивановской области»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подготовлен во исполнение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Федерации».</w:t>
            </w:r>
          </w:p>
        </w:tc>
      </w:tr>
      <w:tr>
        <w:trPr>
          <w:trHeight w:hRule="atLeast" w:val="511"/>
        </w:trP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условий, при которых проблема может быть решена в целом без вме</w:t>
            </w:r>
            <w:r>
              <w:rPr>
                <w:rFonts w:ascii="Times New Roman" w:hAnsi="Times New Roman"/>
                <w:sz w:val="24"/>
              </w:rPr>
              <w:t>шательства со стороны государства: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проблемы без соответствующего нормативно-правового регулирования </w:t>
            </w:r>
            <w:r>
              <w:rPr>
                <w:rFonts w:ascii="Times New Roman" w:hAnsi="Times New Roman"/>
                <w:sz w:val="24"/>
              </w:rPr>
              <w:t>не представляется возможным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экономического развития и торговли Ивановской области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Иная информация о </w:t>
            </w:r>
            <w:r>
              <w:rPr>
                <w:rFonts w:ascii="Times New Roman" w:hAnsi="Times New Roman"/>
                <w:sz w:val="24"/>
              </w:rPr>
              <w:t>проблеме: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3E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9436"/>
      </w:tblGrid>
      <w:tr>
        <w:tc>
          <w:tcPr>
            <w:tcW w:type="dxa" w:w="10207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Анализ опыта иных субъектов Российской Федерации в соответствующих сферах деятельности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иных субъектов Российской Федерации в соответствующих сферах деятельности: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ind w:firstLine="709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 </w:t>
            </w:r>
            <w:r>
              <w:rPr>
                <w:rFonts w:ascii="Times New Roman" w:hAnsi="Times New Roman"/>
              </w:rPr>
              <w:t>Белгородской</w:t>
            </w:r>
            <w:r>
              <w:rPr>
                <w:rFonts w:ascii="Times New Roman" w:hAnsi="Times New Roman"/>
              </w:rPr>
              <w:t xml:space="preserve"> области от 30.10.2024 № 415 «О развитии ответственного ведения бизнеса в Белгородской области»</w:t>
            </w:r>
          </w:p>
          <w:p w14:paraId="43000000">
            <w:pPr>
              <w:ind w:firstLine="709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 </w:t>
            </w:r>
            <w:r>
              <w:rPr>
                <w:rFonts w:ascii="Times New Roman" w:hAnsi="Times New Roman"/>
              </w:rPr>
              <w:t>Владимирской</w:t>
            </w:r>
            <w:r>
              <w:rPr>
                <w:rFonts w:ascii="Times New Roman" w:hAnsi="Times New Roman"/>
              </w:rPr>
              <w:t xml:space="preserve"> области от 05.12.2022 № 116-ОЗ «О развитии ответственного ведения бизнеса во Владимирской области»</w:t>
            </w:r>
          </w:p>
          <w:p w14:paraId="44000000">
            <w:pPr>
              <w:ind w:firstLine="709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Воронежской област</w:t>
            </w:r>
            <w:r>
              <w:rPr>
                <w:rFonts w:ascii="Times New Roman" w:hAnsi="Times New Roman"/>
              </w:rPr>
              <w:t>и от 21.10.2024 № 112-ОЗ «О развитии ответственного ведения бизнеса на территории Воронежской области»</w:t>
            </w:r>
          </w:p>
          <w:p w14:paraId="45000000">
            <w:pPr>
              <w:ind w:firstLine="709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 </w:t>
            </w:r>
            <w:r>
              <w:rPr>
                <w:rFonts w:ascii="Times New Roman" w:hAnsi="Times New Roman"/>
              </w:rPr>
              <w:t>Липецкой</w:t>
            </w:r>
            <w:r>
              <w:rPr>
                <w:rFonts w:ascii="Times New Roman" w:hAnsi="Times New Roman"/>
              </w:rPr>
              <w:t xml:space="preserve"> области от 28.12.2023 № 436-ОЗ «О развитии ответственного ведения бизнеса в Липецкой области»</w:t>
            </w:r>
          </w:p>
          <w:p w14:paraId="46000000">
            <w:pPr>
              <w:ind w:firstLine="709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 </w:t>
            </w:r>
            <w:r>
              <w:rPr>
                <w:rFonts w:ascii="Times New Roman" w:hAnsi="Times New Roman"/>
              </w:rPr>
              <w:t>Орловской</w:t>
            </w:r>
            <w:r>
              <w:rPr>
                <w:rFonts w:ascii="Times New Roman" w:hAnsi="Times New Roman"/>
              </w:rPr>
              <w:t xml:space="preserve"> области от 05.11.2024 № 3132</w:t>
            </w:r>
            <w:r>
              <w:rPr>
                <w:rFonts w:ascii="Times New Roman" w:hAnsi="Times New Roman"/>
              </w:rPr>
              <w:t>-ОЗ «О развитии ответственного ведения бизнеса в Орловской области»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</w:t>
            </w:r>
          </w:p>
        </w:tc>
      </w:tr>
    </w:tbl>
    <w:p w14:paraId="4A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3764"/>
        <w:gridCol w:w="5672"/>
      </w:tblGrid>
      <w:tr>
        <w:tc>
          <w:tcPr>
            <w:tcW w:type="dxa" w:w="10207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Цели предлагаемого регулирования и их соответствие принципам правового регулирования</w:t>
            </w:r>
          </w:p>
        </w:tc>
      </w:tr>
      <w:tr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5.1. </w:t>
            </w:r>
            <w:r>
              <w:rPr>
                <w:rFonts w:ascii="Times New Roman" w:hAnsi="Times New Roman"/>
                <w:sz w:val="24"/>
              </w:rPr>
              <w:t>Цели предлагаемого регулирования:</w:t>
            </w:r>
          </w:p>
        </w:tc>
        <w:tc>
          <w:tcPr>
            <w:tcW w:type="dxa" w:w="5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Установленные сроки достижения целей предлагаемого регулирования:</w:t>
            </w:r>
          </w:p>
        </w:tc>
      </w:tr>
      <w:tr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мер поддержки ответственного ведения бизнеса на региональном уровне</w:t>
            </w:r>
          </w:p>
        </w:tc>
        <w:tc>
          <w:tcPr>
            <w:tcW w:type="dxa" w:w="5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 квартал 2024 года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type="dxa" w:w="9436"/>
            <w:gridSpan w:val="2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соответс</w:t>
            </w:r>
            <w:r>
              <w:rPr>
                <w:rFonts w:ascii="Times New Roman" w:hAnsi="Times New Roman"/>
                <w:sz w:val="24"/>
              </w:rPr>
              <w:t>твия целей предлагаемого регулирования принципам правового регулирования:</w:t>
            </w:r>
          </w:p>
        </w:tc>
      </w:tr>
      <w:tr>
        <w:tc>
          <w:tcPr>
            <w:tcW w:type="dxa" w:w="10207"/>
            <w:gridSpan w:val="3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предлагаемого правового регулирования соответствуют основным целям, закрепленным законодательством Российской Федерации и законодательством Ивановской области</w:t>
            </w:r>
          </w:p>
        </w:tc>
      </w:tr>
      <w:tr>
        <w:tc>
          <w:tcPr>
            <w:tcW w:type="dxa" w:w="771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type="dxa" w:w="9436"/>
            <w:gridSpan w:val="2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Иная </w:t>
            </w:r>
            <w:r>
              <w:rPr>
                <w:rFonts w:ascii="Times New Roman" w:hAnsi="Times New Roman"/>
                <w:sz w:val="24"/>
              </w:rPr>
              <w:t>информация о целях предлагаемого регулирования:</w:t>
            </w:r>
          </w:p>
        </w:tc>
      </w:tr>
      <w:tr>
        <w:tc>
          <w:tcPr>
            <w:tcW w:type="dxa" w:w="10207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56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9436"/>
      </w:tblGrid>
      <w:tr>
        <w:tc>
          <w:tcPr>
            <w:tcW w:type="dxa" w:w="10207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Описание предлагаемого регулирования и иных возможных (альтернативных) способов решения проблемы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предлагаемого способа </w:t>
            </w:r>
            <w:r>
              <w:rPr>
                <w:rFonts w:ascii="Times New Roman" w:hAnsi="Times New Roman"/>
                <w:sz w:val="24"/>
              </w:rPr>
              <w:t>решения проблемы и преодоления связанных с ней негативных эффектов: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закона Ивановской области «О развитии ответственного ведения бизнеса </w:t>
            </w:r>
            <w:r>
              <w:rPr>
                <w:rFonts w:ascii="Times New Roman" w:hAnsi="Times New Roman"/>
                <w:sz w:val="24"/>
              </w:rPr>
              <w:t>в Ивановской области»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иных способов решения проблемы (с указанием того, каким образом каждым </w:t>
            </w:r>
            <w:r>
              <w:rPr>
                <w:rFonts w:ascii="Times New Roman" w:hAnsi="Times New Roman"/>
                <w:sz w:val="24"/>
              </w:rPr>
              <w:t>из способов могла бы быть решена проблема):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Решение про</w:t>
            </w:r>
            <w:r>
              <w:rPr>
                <w:rFonts w:ascii="Times New Roman" w:hAnsi="Times New Roman"/>
                <w:sz w:val="24"/>
                <w:u w:val="none"/>
              </w:rPr>
              <w:t>блемы возможно только путем у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становления правовых </w:t>
            </w:r>
            <w:r>
              <w:rPr>
                <w:rFonts w:ascii="Times New Roman" w:hAnsi="Times New Roman"/>
                <w:sz w:val="24"/>
                <w:u w:val="none"/>
              </w:rPr>
              <w:t>основ системы стимулирования ответственного ведения бизнеса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в Ивановской области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выбора предлагаемого способа решения проблемы: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Предлагаемый способ решения проблемы базируется на действующем законодательстве Российской Федерации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type="dxa" w:w="9436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Иная информация о </w:t>
            </w:r>
            <w:r>
              <w:rPr>
                <w:rFonts w:ascii="Times New Roman" w:hAnsi="Times New Roman"/>
                <w:sz w:val="24"/>
              </w:rPr>
              <w:t>предлагаемом способе решения проблемы:</w:t>
            </w:r>
          </w:p>
        </w:tc>
      </w:tr>
      <w:tr>
        <w:tc>
          <w:tcPr>
            <w:tcW w:type="dxa" w:w="102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64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3763"/>
        <w:gridCol w:w="773"/>
        <w:gridCol w:w="4900"/>
      </w:tblGrid>
      <w:tr>
        <w:tc>
          <w:tcPr>
            <w:tcW w:type="dxa" w:w="10207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Основные группы субъектов предпринимательской и иной экономической деятельности, органы государственной власти Ивановской области и органы </w:t>
            </w:r>
            <w:r>
              <w:rPr>
                <w:rFonts w:ascii="Times New Roman" w:hAnsi="Times New Roman"/>
                <w:sz w:val="24"/>
              </w:rPr>
              <w:t>местного самоуправления муниципальных образований Ивановской области, интересы которых могут быть затронуты предлагаемым правовым регулированием, оценка количества таких субъектов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3763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участников отношений: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4900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количества участников отношен</w:t>
            </w:r>
            <w:r>
              <w:rPr>
                <w:rFonts w:ascii="Times New Roman" w:hAnsi="Times New Roman"/>
                <w:sz w:val="24"/>
              </w:rPr>
              <w:t>ий:</w:t>
            </w:r>
          </w:p>
        </w:tc>
      </w:tr>
      <w:tr>
        <w:tc>
          <w:tcPr>
            <w:tcW w:type="dxa" w:w="4534"/>
            <w:gridSpan w:val="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Субъекты (юридические лица и индивидуальные предприниматели) </w:t>
            </w:r>
            <w:r>
              <w:rPr>
                <w:rFonts w:ascii="Times New Roman" w:hAnsi="Times New Roman"/>
                <w:sz w:val="24"/>
                <w:u w:val="none"/>
              </w:rPr>
              <w:t>предпринимательской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u w:val="none"/>
              </w:rPr>
              <w:t>осуществляющие инвестиционную деятельность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Ивановской области</w:t>
            </w:r>
          </w:p>
        </w:tc>
        <w:tc>
          <w:tcPr>
            <w:tcW w:type="dxa" w:w="567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43000</w:t>
            </w:r>
          </w:p>
        </w:tc>
      </w:tr>
      <w:tr>
        <w:trPr>
          <w:trHeight w:hRule="atLeast" w:val="234"/>
        </w:trP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9436"/>
            <w:gridSpan w:val="3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rPr>
          <w:trHeight w:hRule="atLeast" w:val="234"/>
        </w:trPr>
        <w:tc>
          <w:tcPr>
            <w:tcW w:type="dxa" w:w="10207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реестр субъектов малого и среднего предпринимательства</w:t>
            </w:r>
          </w:p>
        </w:tc>
      </w:tr>
    </w:tbl>
    <w:p w14:paraId="6F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2289"/>
        <w:gridCol w:w="830"/>
        <w:gridCol w:w="2173"/>
        <w:gridCol w:w="803"/>
        <w:gridCol w:w="3341"/>
      </w:tblGrid>
      <w:tr>
        <w:tc>
          <w:tcPr>
            <w:tcW w:type="dxa" w:w="10207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Новые функции, </w:t>
            </w:r>
            <w:r>
              <w:rPr>
                <w:rFonts w:ascii="Times New Roman" w:hAnsi="Times New Roman"/>
                <w:sz w:val="24"/>
              </w:rPr>
              <w:t xml:space="preserve">полномочия, </w:t>
            </w:r>
            <w:r>
              <w:rPr>
                <w:rFonts w:ascii="Times New Roman" w:hAnsi="Times New Roman"/>
                <w:sz w:val="24"/>
              </w:rPr>
              <w:t>обязанности</w:t>
            </w:r>
            <w:r>
              <w:rPr>
                <w:rFonts w:ascii="Times New Roman" w:hAnsi="Times New Roman"/>
                <w:sz w:val="24"/>
              </w:rPr>
              <w:t xml:space="preserve"> и права органов государственной власти Ивановской области и органов местного самоуправления муниципальных образований Ивановской области или сведения об их изменении, а также порядок их реализации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228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новых или изменения </w:t>
            </w:r>
            <w:r>
              <w:rPr>
                <w:rFonts w:ascii="Times New Roman" w:hAnsi="Times New Roman"/>
                <w:sz w:val="24"/>
              </w:rPr>
              <w:t>существующих функций, полномочий, обязанностей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217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реализации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334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изменения трудозатрат и (или) потребностей в иных ресурсах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мер поддержки ответственному инвестору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последствии для каждой меры поддержки будет разработан отдельный порядок реализации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доведенных лимитов</w:t>
            </w:r>
          </w:p>
        </w:tc>
      </w:tr>
    </w:tbl>
    <w:p w14:paraId="7D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1949"/>
        <w:gridCol w:w="744"/>
        <w:gridCol w:w="3165"/>
        <w:gridCol w:w="566"/>
        <w:gridCol w:w="3012"/>
      </w:tblGrid>
      <w:tr>
        <w:tc>
          <w:tcPr>
            <w:tcW w:type="dxa" w:w="10207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Оценка соответствующих расходов (возможных поступлений) бюджета Ивановской области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194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новой или изменяемой фун</w:t>
            </w:r>
            <w:r>
              <w:rPr>
                <w:rFonts w:ascii="Times New Roman" w:hAnsi="Times New Roman"/>
                <w:sz w:val="24"/>
              </w:rPr>
              <w:t xml:space="preserve">кции, полномочия, </w:t>
            </w:r>
            <w:r>
              <w:rPr>
                <w:rFonts w:ascii="Times New Roman" w:hAnsi="Times New Roman"/>
                <w:sz w:val="24"/>
              </w:rPr>
              <w:t>обязанности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type="dxa" w:w="316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type="dxa" w:w="301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Количественная оценка расходов (возможных поступлений)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4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мер поддержки ответственному инвестору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Единовременные расходы не предполагаются</w:t>
            </w:r>
          </w:p>
          <w:p w14:paraId="8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Периодические расходы не предполагаются</w:t>
            </w:r>
          </w:p>
          <w:p w14:paraId="8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доходы не предполагаются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1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Данным проектом закона устанавливается лишь перечень мер поддержки</w:t>
            </w:r>
          </w:p>
        </w:tc>
      </w:tr>
    </w:tbl>
    <w:p w14:paraId="8D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2268"/>
        <w:gridCol w:w="709"/>
        <w:gridCol w:w="2315"/>
        <w:gridCol w:w="850"/>
        <w:gridCol w:w="3294"/>
      </w:tblGrid>
      <w:tr>
        <w:tc>
          <w:tcPr>
            <w:tcW w:type="dxa" w:w="10207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r>
              <w:rPr>
                <w:rFonts w:ascii="Times New Roman" w:hAnsi="Times New Roman"/>
                <w:sz w:val="24"/>
              </w:rPr>
              <w:t xml:space="preserve">Новые или изменяющие ранее </w:t>
            </w:r>
            <w:r>
              <w:rPr>
                <w:rFonts w:ascii="Times New Roman" w:hAnsi="Times New Roman"/>
                <w:sz w:val="24"/>
              </w:rPr>
              <w:t>предусмотренные нормативным правовым актом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инвестиционной деятельности, а также устанавливающие или измен</w:t>
            </w:r>
            <w:r>
              <w:rPr>
                <w:rFonts w:ascii="Times New Roman" w:hAnsi="Times New Roman"/>
                <w:sz w:val="24"/>
              </w:rPr>
              <w:t>яющие ранее установленную ответственность за нарушение нормативных правовых актов запреты и ограничения для субъектов предпринимательской и иной экономической деятельности, а также порядок организации их исполнения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10.1.</w:t>
            </w: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участников отношений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type="dxa" w:w="231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новых или изменения ранее предусмотренных </w:t>
            </w:r>
            <w:r>
              <w:rPr>
                <w:rFonts w:ascii="Times New Roman" w:hAnsi="Times New Roman"/>
                <w:sz w:val="24"/>
              </w:rPr>
              <w:t>существующих обязательных требований, обязанностей, ответственности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</w:t>
            </w:r>
          </w:p>
        </w:tc>
        <w:tc>
          <w:tcPr>
            <w:tcW w:type="dxa" w:w="329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организации исполнения обязательных требований, обязанностей и </w:t>
            </w:r>
            <w:r>
              <w:rPr>
                <w:rFonts w:ascii="Times New Roman" w:hAnsi="Times New Roman"/>
                <w:sz w:val="24"/>
              </w:rPr>
              <w:t>ответственности</w:t>
            </w:r>
          </w:p>
        </w:tc>
      </w:tr>
      <w:tr>
        <w:tc>
          <w:tcPr>
            <w:tcW w:type="dxa" w:w="303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Субъекты (юридические лица и индивидуальные предприниматели) </w:t>
            </w:r>
            <w:r>
              <w:rPr>
                <w:rFonts w:ascii="Times New Roman" w:hAnsi="Times New Roman"/>
                <w:sz w:val="24"/>
                <w:u w:val="none"/>
              </w:rPr>
              <w:t>предпринимательской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u w:val="none"/>
              </w:rPr>
              <w:t>осуществляющие инвестиционную деятельность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Ивановской области</w:t>
            </w:r>
          </w:p>
        </w:tc>
        <w:tc>
          <w:tcPr>
            <w:tcW w:type="dxa" w:w="30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Новые обязанности для инвесторов будут возникать после утверждения подзаконных нормативных правовых актов, регулирующих порядок предоставления конкретной меры поддержки</w:t>
            </w:r>
          </w:p>
        </w:tc>
        <w:tc>
          <w:tcPr>
            <w:tcW w:type="dxa" w:w="4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Определяется </w:t>
            </w:r>
            <w:r>
              <w:rPr>
                <w:rFonts w:ascii="Times New Roman" w:hAnsi="Times New Roman"/>
                <w:sz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</w:rPr>
              <w:t xml:space="preserve"> подзаконным нормативным правовым актом, регулирующим порядок предоставления конкретной меры поддержки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10.4.</w:t>
            </w:r>
          </w:p>
        </w:tc>
        <w:tc>
          <w:tcPr>
            <w:tcW w:type="dxa" w:w="94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 __________________________________________________</w:t>
            </w:r>
          </w:p>
        </w:tc>
      </w:tr>
    </w:tbl>
    <w:p w14:paraId="9A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2289"/>
        <w:gridCol w:w="688"/>
        <w:gridCol w:w="2307"/>
        <w:gridCol w:w="663"/>
        <w:gridCol w:w="3482"/>
      </w:tblGrid>
      <w:tr>
        <w:tc>
          <w:tcPr>
            <w:tcW w:type="dxa" w:w="10200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требований, </w:t>
            </w:r>
            <w:r>
              <w:rPr>
                <w:rFonts w:ascii="Times New Roman" w:hAnsi="Times New Roman"/>
                <w:sz w:val="24"/>
              </w:rPr>
              <w:t>обязанностей либо изменением содержания таких обязательных требований, обязанностей, а также связанных с введением или изменением ответственности</w:t>
            </w:r>
          </w:p>
          <w:p w14:paraId="9C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type="dxa" w:w="228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участников отношений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type="dxa" w:w="230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новых или изменения ранее предусмотренных существующих </w:t>
            </w:r>
            <w:r>
              <w:rPr>
                <w:rFonts w:ascii="Times New Roman" w:hAnsi="Times New Roman"/>
                <w:sz w:val="24"/>
              </w:rPr>
              <w:t>обязательных требований, обязанностей, ответственности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type="dxa" w:w="348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 оценка видов расходов (доходов)</w:t>
            </w:r>
          </w:p>
        </w:tc>
      </w:tr>
      <w:tr>
        <w:tc>
          <w:tcPr>
            <w:tcW w:type="dxa" w:w="3060"/>
            <w:gridSpan w:val="2"/>
            <w:tcMar>
              <w:left w:type="dxa" w:w="0"/>
              <w:right w:type="dxa" w:w="0"/>
            </w:tcMar>
          </w:tcPr>
          <w:p w14:paraId="A3000000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Субъекты (юридические лица и индивидуальные предприниматели) </w:t>
            </w:r>
            <w:r>
              <w:rPr>
                <w:rFonts w:ascii="Times New Roman" w:hAnsi="Times New Roman"/>
                <w:sz w:val="24"/>
                <w:u w:val="none"/>
              </w:rPr>
              <w:t>предпринимательской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u w:val="none"/>
              </w:rPr>
              <w:t>осуществляющие инвестиционную деятельность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Ивановской области</w:t>
            </w:r>
          </w:p>
        </w:tc>
        <w:tc>
          <w:tcPr>
            <w:tcW w:type="dxa" w:w="29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Новые обязанности и ограничения для инвесторов будут возникать после утверждения подзаконных нормативных правовых актов, регулирующих порядок предоставления конкретной меры поддержки</w:t>
            </w:r>
          </w:p>
        </w:tc>
        <w:tc>
          <w:tcPr>
            <w:tcW w:type="dxa" w:w="4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pStyle w:val="Style_2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Возмещение части затрат на создание объектов инфраструктуры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type="dxa" w:w="9429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 _________________________________________________</w:t>
            </w:r>
          </w:p>
        </w:tc>
      </w:tr>
    </w:tbl>
    <w:p w14:paraId="A8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3763"/>
        <w:gridCol w:w="773"/>
        <w:gridCol w:w="4900"/>
      </w:tblGrid>
      <w:tr>
        <w:tc>
          <w:tcPr>
            <w:tcW w:type="dxa" w:w="10207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Риски решения проблемы предложенным способом правового регулирования и риски негативных последствий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</w:t>
            </w:r>
          </w:p>
        </w:tc>
        <w:tc>
          <w:tcPr>
            <w:tcW w:type="dxa" w:w="376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Риски решения проблемы </w:t>
            </w:r>
            <w:r>
              <w:rPr>
                <w:rFonts w:ascii="Times New Roman" w:hAnsi="Times New Roman"/>
                <w:sz w:val="24"/>
              </w:rPr>
              <w:t>предложенным способом и риски негативных последствий: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12.2.</w:t>
            </w:r>
          </w:p>
        </w:tc>
        <w:tc>
          <w:tcPr>
            <w:tcW w:type="dxa" w:w="490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вероятности наступления рисков:</w:t>
            </w:r>
          </w:p>
        </w:tc>
      </w:tr>
      <w:tr>
        <w:tc>
          <w:tcPr>
            <w:tcW w:type="dxa" w:w="45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Риски не выявлены </w:t>
            </w:r>
          </w:p>
        </w:tc>
        <w:tc>
          <w:tcPr>
            <w:tcW w:type="dxa" w:w="5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12.3.</w:t>
            </w:r>
          </w:p>
        </w:tc>
        <w:tc>
          <w:tcPr>
            <w:tcW w:type="dxa" w:w="9436"/>
            <w:gridSpan w:val="3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10207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</w:p>
        </w:tc>
      </w:tr>
    </w:tbl>
    <w:p w14:paraId="B3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29"/>
        <w:gridCol w:w="844"/>
        <w:gridCol w:w="1700"/>
        <w:gridCol w:w="850"/>
        <w:gridCol w:w="2097"/>
        <w:gridCol w:w="850"/>
        <w:gridCol w:w="3237"/>
      </w:tblGrid>
      <w:tr>
        <w:tc>
          <w:tcPr>
            <w:tcW w:type="dxa" w:w="10207"/>
            <w:gridSpan w:val="7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Описание </w:t>
            </w:r>
            <w:r>
              <w:rPr>
                <w:rFonts w:ascii="Times New Roman" w:hAnsi="Times New Roman"/>
                <w:sz w:val="24"/>
              </w:rPr>
              <w:t>методов контроля эффективности избранного способа достижения целей регулирования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13.1.</w:t>
            </w:r>
          </w:p>
        </w:tc>
        <w:tc>
          <w:tcPr>
            <w:tcW w:type="dxa" w:w="2544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Риски решения </w:t>
            </w:r>
            <w:r>
              <w:rPr>
                <w:rFonts w:ascii="Times New Roman" w:hAnsi="Times New Roman"/>
                <w:sz w:val="24"/>
              </w:rPr>
              <w:t>проблемы предложенным способом и риски негативных последствий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13.2.</w:t>
            </w:r>
          </w:p>
        </w:tc>
        <w:tc>
          <w:tcPr>
            <w:tcW w:type="dxa" w:w="209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sz w:val="24"/>
              </w:rPr>
              <w:t xml:space="preserve">контроля </w:t>
            </w:r>
            <w:r>
              <w:rPr>
                <w:rFonts w:ascii="Times New Roman" w:hAnsi="Times New Roman"/>
                <w:sz w:val="24"/>
              </w:rPr>
              <w:t>эффективности избранного способа достижения целей регулирования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13.3.</w:t>
            </w:r>
          </w:p>
        </w:tc>
        <w:tc>
          <w:tcPr>
            <w:tcW w:type="dxa" w:w="323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контроля рисков</w:t>
            </w:r>
          </w:p>
        </w:tc>
      </w:tr>
      <w:tr>
        <w:tc>
          <w:tcPr>
            <w:tcW w:type="dxa" w:w="3173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r>
              <w:rPr>
                <w:rFonts w:ascii="Times New Roman" w:hAnsi="Times New Roman"/>
                <w:sz w:val="24"/>
              </w:rPr>
              <w:t xml:space="preserve">Риски не выявлены </w:t>
            </w:r>
          </w:p>
        </w:tc>
        <w:tc>
          <w:tcPr>
            <w:tcW w:type="dxa" w:w="29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  <w:tc>
          <w:tcPr>
            <w:tcW w:type="dxa" w:w="40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c>
          <w:tcPr>
            <w:tcW w:type="dxa" w:w="1473"/>
            <w:gridSpan w:val="2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13.4.</w:t>
            </w:r>
          </w:p>
        </w:tc>
        <w:tc>
          <w:tcPr>
            <w:tcW w:type="dxa" w:w="8734"/>
            <w:gridSpan w:val="5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10207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</w:t>
            </w:r>
          </w:p>
        </w:tc>
      </w:tr>
    </w:tbl>
    <w:p w14:paraId="C1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952"/>
        <w:gridCol w:w="1191"/>
        <w:gridCol w:w="1531"/>
        <w:gridCol w:w="1701"/>
        <w:gridCol w:w="1849"/>
        <w:gridCol w:w="2983"/>
      </w:tblGrid>
      <w:tr>
        <w:tc>
          <w:tcPr>
            <w:tcW w:type="dxa" w:w="10207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>
        <w:tc>
          <w:tcPr>
            <w:tcW w:type="dxa" w:w="21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14.1. Мероприятия, необходимые для достижения </w:t>
            </w:r>
            <w:r>
              <w:rPr>
                <w:rFonts w:ascii="Times New Roman" w:hAnsi="Times New Roman"/>
                <w:sz w:val="24"/>
              </w:rPr>
              <w:t>целей регулирования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14.2. Сроки мероприятий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14.3. Описание ожидаемого результата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14.4. Объем финансирования</w:t>
            </w:r>
          </w:p>
        </w:tc>
        <w:tc>
          <w:tcPr>
            <w:tcW w:type="dxa" w:w="2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14.5. Источники финансирования</w:t>
            </w:r>
          </w:p>
        </w:tc>
      </w:tr>
      <w:tr>
        <w:tc>
          <w:tcPr>
            <w:tcW w:type="dxa" w:w="21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и последующее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4"/>
              </w:rPr>
              <w:t>публикование закона Ивановской области «О развитии ответственного ведения бизнеса в Ивановской области»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Определены </w:t>
            </w:r>
            <w:r>
              <w:rPr>
                <w:rFonts w:ascii="Times New Roman" w:hAnsi="Times New Roman"/>
                <w:sz w:val="24"/>
              </w:rPr>
              <w:t xml:space="preserve">Законом Ивановской области от 23.11.1994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№ 27-ОЗ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«О порядке обнародования (официального опубликования) правовых актов Ивановской области, иной официальной информации»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14.6.</w:t>
            </w:r>
          </w:p>
        </w:tc>
        <w:tc>
          <w:tcPr>
            <w:tcW w:type="dxa" w:w="9255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затрат на необходимые для достижения заявленных целей </w:t>
            </w:r>
            <w:r>
              <w:rPr>
                <w:rFonts w:ascii="Times New Roman" w:hAnsi="Times New Roman"/>
                <w:sz w:val="24"/>
              </w:rPr>
              <w:t>регулирования организационно-технические, методологические, информационные и иные мероприятия: ________________________________</w:t>
            </w:r>
          </w:p>
        </w:tc>
      </w:tr>
    </w:tbl>
    <w:p w14:paraId="CF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24"/>
        <w:gridCol w:w="1701"/>
        <w:gridCol w:w="604"/>
        <w:gridCol w:w="1654"/>
        <w:gridCol w:w="604"/>
        <w:gridCol w:w="1644"/>
        <w:gridCol w:w="604"/>
        <w:gridCol w:w="2772"/>
      </w:tblGrid>
      <w:tr>
        <w:tc>
          <w:tcPr>
            <w:tcW w:type="dxa" w:w="10207"/>
            <w:gridSpan w:val="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15.1.</w:t>
            </w:r>
          </w:p>
        </w:tc>
        <w:tc>
          <w:tcPr>
            <w:tcW w:type="dxa" w:w="170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предлагаемого регулирования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15.2.</w:t>
            </w:r>
          </w:p>
        </w:tc>
        <w:tc>
          <w:tcPr>
            <w:tcW w:type="dxa" w:w="16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Индикативные показатели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15.3.</w:t>
            </w:r>
          </w:p>
        </w:tc>
        <w:tc>
          <w:tcPr>
            <w:tcW w:type="dxa" w:w="164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индикативных показателей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15.4.</w:t>
            </w:r>
          </w:p>
        </w:tc>
        <w:tc>
          <w:tcPr>
            <w:tcW w:type="dxa" w:w="27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расчета индикативных показателей</w:t>
            </w:r>
          </w:p>
        </w:tc>
      </w:tr>
      <w:tr>
        <w:tc>
          <w:tcPr>
            <w:tcW w:type="dxa" w:w="23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правовых </w:t>
            </w:r>
            <w:r>
              <w:rPr>
                <w:rFonts w:ascii="Times New Roman" w:hAnsi="Times New Roman"/>
                <w:sz w:val="24"/>
              </w:rPr>
              <w:t xml:space="preserve">основ системы стимулирования </w:t>
            </w:r>
            <w:r>
              <w:rPr>
                <w:rFonts w:ascii="Times New Roman" w:hAnsi="Times New Roman"/>
                <w:sz w:val="24"/>
              </w:rPr>
              <w:t>ответственного ведения бизнеса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Ивановской области</w:t>
            </w:r>
          </w:p>
        </w:tc>
        <w:tc>
          <w:tcPr>
            <w:tcW w:type="dxa" w:w="22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/>
        </w:tc>
        <w:tc>
          <w:tcPr>
            <w:tcW w:type="dxa" w:w="2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15.5.</w:t>
            </w:r>
          </w:p>
        </w:tc>
        <w:tc>
          <w:tcPr>
            <w:tcW w:type="dxa" w:w="9583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>
        <w:tc>
          <w:tcPr>
            <w:tcW w:type="dxa" w:w="10207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15.6.</w:t>
            </w:r>
          </w:p>
        </w:tc>
        <w:tc>
          <w:tcPr>
            <w:tcW w:type="dxa" w:w="9583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затрат на осуществление </w:t>
            </w:r>
            <w:r>
              <w:rPr>
                <w:rFonts w:ascii="Times New Roman" w:hAnsi="Times New Roman"/>
                <w:sz w:val="24"/>
              </w:rPr>
              <w:t xml:space="preserve">мониторинга (в </w:t>
            </w:r>
            <w:r>
              <w:rPr>
                <w:rFonts w:ascii="Times New Roman" w:hAnsi="Times New Roman"/>
                <w:sz w:val="24"/>
              </w:rPr>
              <w:t>среднем</w:t>
            </w:r>
            <w:r>
              <w:rPr>
                <w:rFonts w:ascii="Times New Roman" w:hAnsi="Times New Roman"/>
                <w:sz w:val="24"/>
              </w:rPr>
              <w:t xml:space="preserve"> в год): ____________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15.7.</w:t>
            </w:r>
          </w:p>
        </w:tc>
        <w:tc>
          <w:tcPr>
            <w:tcW w:type="dxa" w:w="9583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источников информации для расчета показателей (индикаторов):</w:t>
            </w:r>
          </w:p>
        </w:tc>
      </w:tr>
      <w:tr>
        <w:tc>
          <w:tcPr>
            <w:tcW w:type="dxa" w:w="10207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</w:p>
        </w:tc>
      </w:tr>
    </w:tbl>
    <w:p w14:paraId="E5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1"/>
        <w:gridCol w:w="2693"/>
        <w:gridCol w:w="993"/>
        <w:gridCol w:w="708"/>
        <w:gridCol w:w="2090"/>
        <w:gridCol w:w="2952"/>
      </w:tblGrid>
      <w:tr>
        <w:tc>
          <w:tcPr>
            <w:tcW w:type="dxa" w:w="10207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Предполагаемая дата вступления в силу проекта нормативного </w:t>
            </w:r>
            <w:r>
              <w:rPr>
                <w:rFonts w:ascii="Times New Roman" w:hAnsi="Times New Roman"/>
                <w:sz w:val="24"/>
              </w:rPr>
              <w:t>правового акта, необходимость установления переходных положений (переходного периода), а также эксперимента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16.1.</w:t>
            </w:r>
          </w:p>
        </w:tc>
        <w:tc>
          <w:tcPr>
            <w:tcW w:type="dxa" w:w="9436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Предполагаемая дата вступления в силу проекта нормативного правового акта: 31 декабря 2024 г.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16.2.</w:t>
            </w:r>
          </w:p>
        </w:tc>
        <w:tc>
          <w:tcPr>
            <w:tcW w:type="dxa" w:w="269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Необходимость установления переходных </w:t>
            </w:r>
            <w:r>
              <w:rPr>
                <w:rFonts w:ascii="Times New Roman" w:hAnsi="Times New Roman"/>
                <w:sz w:val="24"/>
              </w:rPr>
              <w:t>положений (переходного периода):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16.3.</w:t>
            </w:r>
          </w:p>
        </w:tc>
        <w:tc>
          <w:tcPr>
            <w:tcW w:type="dxa" w:w="209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(если есть необходимость):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EF000000">
      <w:pPr>
        <w:pStyle w:val="Style_2"/>
        <w:rPr>
          <w:rFonts w:ascii="Times New Roman" w:hAnsi="Times New Roman"/>
          <w:sz w:val="24"/>
        </w:rPr>
      </w:pPr>
    </w:p>
    <w:p w14:paraId="F0000000">
      <w:pPr>
        <w:pStyle w:val="Style_2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32"/>
        <w:gridCol w:w="2266"/>
        <w:gridCol w:w="3409"/>
      </w:tblGrid>
      <w:tr>
        <w:tc>
          <w:tcPr>
            <w:tcW w:type="dxa" w:w="45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 Правительства Ивановской области – директор Департамента </w:t>
            </w:r>
            <w:r>
              <w:rPr>
                <w:rFonts w:ascii="Times New Roman" w:hAnsi="Times New Roman"/>
              </w:rPr>
              <w:t>экономического развития и торговли Ивановской области</w:t>
            </w:r>
          </w:p>
          <w:p w14:paraId="F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  <w:p w14:paraId="F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Тугушев</w:t>
            </w:r>
            <w:r>
              <w:rPr>
                <w:rFonts w:ascii="Times New Roman" w:hAnsi="Times New Roman"/>
              </w:rPr>
              <w:t xml:space="preserve"> Д.К.</w:t>
            </w:r>
          </w:p>
        </w:tc>
        <w:tc>
          <w:tcPr>
            <w:tcW w:type="dxa" w:w="2266"/>
            <w:tcMar>
              <w:left w:type="dxa" w:w="0"/>
              <w:right w:type="dxa" w:w="0"/>
            </w:tcMar>
          </w:tcPr>
          <w:p w14:paraId="F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  <w:p w14:paraId="F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3409"/>
            <w:tcMar>
              <w:left w:type="dxa" w:w="0"/>
              <w:right w:type="dxa" w:w="0"/>
            </w:tcMar>
          </w:tcPr>
          <w:p w14:paraId="F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</w:t>
            </w:r>
          </w:p>
          <w:p w14:paraId="F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00010000">
      <w:pPr>
        <w:pStyle w:val="Style_2"/>
        <w:rPr>
          <w:rFonts w:ascii="Times New Roman" w:hAnsi="Times New Roman"/>
          <w:sz w:val="24"/>
        </w:rPr>
      </w:pPr>
    </w:p>
    <w:p w14:paraId="01010000">
      <w:pPr>
        <w:pStyle w:val="Style_2"/>
        <w:rPr>
          <w:rFonts w:ascii="Times New Roman" w:hAnsi="Times New Roman"/>
          <w:sz w:val="24"/>
        </w:rPr>
      </w:pPr>
    </w:p>
    <w:sectPr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Обычный1"/>
    <w:link w:val="Style_4_ch"/>
    <w:rPr>
      <w:sz w:val="24"/>
    </w:rPr>
  </w:style>
  <w:style w:styleId="Style_4_ch" w:type="character">
    <w:name w:val="Обычный1"/>
    <w:link w:val="Style_4"/>
    <w:rPr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Cell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Cell"/>
    <w:link w:val="Style_7"/>
    <w:rPr>
      <w:rFonts w:ascii="Courier New" w:hAnsi="Courier New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ConsPlusDocList"/>
    <w:link w:val="Style_13_ch"/>
    <w:pPr>
      <w:widowControl w:val="0"/>
      <w:ind/>
    </w:pPr>
    <w:rPr>
      <w:rFonts w:ascii="Courier New" w:hAnsi="Courier New"/>
      <w:sz w:val="16"/>
    </w:rPr>
  </w:style>
  <w:style w:styleId="Style_13_ch" w:type="character">
    <w:name w:val="ConsPlusDocList"/>
    <w:link w:val="Style_13"/>
    <w:rPr>
      <w:rFonts w:ascii="Courier New" w:hAnsi="Courier New"/>
      <w:sz w:val="16"/>
    </w:rPr>
  </w:style>
  <w:style w:styleId="Style_14" w:type="paragraph">
    <w:name w:val="ConsPlusTextList"/>
    <w:link w:val="Style_14_ch"/>
    <w:pPr>
      <w:widowControl w:val="0"/>
      <w:ind/>
    </w:pPr>
    <w:rPr>
      <w:rFonts w:ascii="Arial" w:hAnsi="Arial"/>
    </w:rPr>
  </w:style>
  <w:style w:styleId="Style_14_ch" w:type="character">
    <w:name w:val="ConsPlusTextList"/>
    <w:link w:val="Style_14"/>
    <w:rPr>
      <w:rFonts w:ascii="Arial" w:hAnsi="Arial"/>
    </w:rPr>
  </w:style>
  <w:style w:styleId="Style_15" w:type="paragraph">
    <w:name w:val="ConsPlusJurTerm"/>
    <w:link w:val="Style_15_ch"/>
    <w:pPr>
      <w:widowControl w:val="0"/>
      <w:ind/>
    </w:pPr>
    <w:rPr>
      <w:rFonts w:ascii="Tahoma" w:hAnsi="Tahoma"/>
      <w:sz w:val="26"/>
    </w:rPr>
  </w:style>
  <w:style w:styleId="Style_15_ch" w:type="character">
    <w:name w:val="ConsPlusJurTerm"/>
    <w:link w:val="Style_15"/>
    <w:rPr>
      <w:rFonts w:ascii="Tahoma" w:hAnsi="Tahoma"/>
      <w:sz w:val="26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toc 3"/>
    <w:next w:val="Style_3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sz w:val="16"/>
    </w:rPr>
  </w:style>
  <w:style w:styleId="Style_2_ch" w:type="character">
    <w:name w:val="ConsPlusNormal"/>
    <w:link w:val="Style_2"/>
    <w:rPr>
      <w:rFonts w:ascii="Arial" w:hAnsi="Arial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  <w:sz w:val="16"/>
    </w:rPr>
  </w:style>
  <w:style w:styleId="Style_23_ch" w:type="character">
    <w:name w:val="ConsPlusTitle"/>
    <w:link w:val="Style_23"/>
    <w:rPr>
      <w:rFonts w:ascii="Arial" w:hAnsi="Arial"/>
      <w:b w:val="1"/>
      <w:sz w:val="16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PlusTextList_0"/>
    <w:link w:val="Style_27_ch"/>
    <w:pPr>
      <w:widowControl w:val="0"/>
      <w:ind/>
    </w:pPr>
    <w:rPr>
      <w:rFonts w:ascii="Arial" w:hAnsi="Arial"/>
    </w:rPr>
  </w:style>
  <w:style w:styleId="Style_27_ch" w:type="character">
    <w:name w:val="ConsPlusTextList_0"/>
    <w:link w:val="Style_27"/>
    <w:rPr>
      <w:rFonts w:ascii="Arial" w:hAnsi="Arial"/>
    </w:rPr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TitlePage"/>
    <w:link w:val="Style_29_ch"/>
    <w:pPr>
      <w:widowControl w:val="0"/>
      <w:ind/>
    </w:pPr>
    <w:rPr>
      <w:rFonts w:ascii="Tahoma" w:hAnsi="Tahoma"/>
      <w:sz w:val="16"/>
    </w:rPr>
  </w:style>
  <w:style w:styleId="Style_29_ch" w:type="character">
    <w:name w:val="ConsPlusTitlePage"/>
    <w:link w:val="Style_29"/>
    <w:rPr>
      <w:rFonts w:ascii="Tahoma" w:hAnsi="Tahoma"/>
      <w:sz w:val="16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2024-11-27T13:34:28Z</dcterms:modified>
</cp:coreProperties>
</file>