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B439E" w14:textId="77777777" w:rsidR="00301A53" w:rsidRPr="009912F9" w:rsidRDefault="00301A53" w:rsidP="00301A53">
      <w:pPr>
        <w:ind w:left="-36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2F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62DBDDE" w14:textId="77777777" w:rsidR="00301A53" w:rsidRPr="009912F9" w:rsidRDefault="00301A53" w:rsidP="00301A53">
      <w:pPr>
        <w:tabs>
          <w:tab w:val="left" w:pos="1260"/>
        </w:tabs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2F9">
        <w:rPr>
          <w:rFonts w:ascii="Times New Roman" w:hAnsi="Times New Roman" w:cs="Times New Roman"/>
          <w:b/>
          <w:sz w:val="28"/>
          <w:szCs w:val="28"/>
        </w:rPr>
        <w:t>к проекту распоряжения Правительства Ивановской области</w:t>
      </w:r>
    </w:p>
    <w:p w14:paraId="36F78495" w14:textId="77777777" w:rsidR="000C0424" w:rsidRPr="000C0424" w:rsidRDefault="000C0424" w:rsidP="000C04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4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«Об утверждении сводного годового доклада о ходе реализации </w:t>
      </w:r>
    </w:p>
    <w:p w14:paraId="469B6300" w14:textId="2BC8AA68" w:rsidR="000805EA" w:rsidRDefault="000C0424" w:rsidP="000C04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424">
        <w:rPr>
          <w:rFonts w:ascii="Times New Roman" w:hAnsi="Times New Roman" w:cs="Times New Roman"/>
          <w:b/>
          <w:color w:val="auto"/>
          <w:sz w:val="28"/>
          <w:szCs w:val="28"/>
        </w:rPr>
        <w:t>и оценке эффективности государственных программ (комплексных программ) Ивановской области за 202</w:t>
      </w:r>
      <w:r w:rsidR="006B072C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0C04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F89233F" w14:textId="77777777" w:rsidR="000C0424" w:rsidRPr="009912F9" w:rsidRDefault="000C0424" w:rsidP="000C042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1835570" w14:textId="292549B4" w:rsidR="000C0424" w:rsidRDefault="001F5E6C" w:rsidP="002A053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E31B6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="00136C0C" w:rsidRPr="003E3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роект </w:t>
      </w:r>
      <w:r w:rsidR="00504F8E" w:rsidRPr="003E31B6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распоряжения Правительства Ивановской области</w:t>
      </w:r>
      <w:r w:rsid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504F8E" w:rsidRPr="003E31B6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Об утверждении сводного годового доклада о ходе реализации и оценке эффективности государственных программ (комплексных программ) Ивановской области за 202</w:t>
      </w:r>
      <w:r w:rsidR="006B072C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 w:rsid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123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(далее 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="00C123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проект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, Сводный доклад</w:t>
      </w:r>
      <w:r w:rsidR="00C123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536108" w:rsidRPr="003E31B6">
        <w:rPr>
          <w:rFonts w:ascii="Times New Roman" w:eastAsia="Times New Roman" w:hAnsi="Times New Roman" w:cs="Times New Roman"/>
          <w:color w:val="auto"/>
          <w:sz w:val="28"/>
          <w:szCs w:val="28"/>
        </w:rPr>
        <w:t>подготовлен</w:t>
      </w:r>
      <w:r w:rsidR="00CE1EA2" w:rsidRPr="003E31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соответствии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постановлени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Правительства Ивановской области от 14.04.2022 № 175-п «О порядке разработки 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и реализации государственн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ых программ Ивановской области» и о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т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21.09.2023 № 453-п</w:t>
      </w:r>
      <w:r w:rsid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C0424"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«Об утверждении Правил формирования сводного годового доклада о ходе реализации и оценки эффективности государственных программ (комплексных программ) Ивановской области и о признании утратившими силу некоторых постановлений Правительства Ивановской области и их отдельных положений»</w:t>
      </w:r>
      <w:r w:rsid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Правил</w:t>
      </w:r>
      <w:r w:rsidR="00740A84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14:paraId="1C9269C8" w14:textId="2F7BB318" w:rsidR="008653A7" w:rsidRDefault="008653A7" w:rsidP="000C042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Целью Сводного доклада является обеспечение Правительства Ивановской области, исполнительных органов государственной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власти Ивановской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области,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подведомственных 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>им у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чреждений, органов местного самоуправления муниципальных образований Ивановской области, иных организаций аналитической информацией, необходимой для подготовки и принятия управленческих решений, а также для информирования граждан и иных заинтересованных лиц </w:t>
      </w:r>
      <w:bookmarkStart w:id="0" w:name="_GoBack"/>
      <w:bookmarkEnd w:id="0"/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о ходе реализации государственных программ (комплексных программ)</w:t>
      </w:r>
      <w:r w:rsidR="00045B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Ивановской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1048462B" w14:textId="225C067C" w:rsidR="008653A7" w:rsidRDefault="00045B9A" w:rsidP="000C042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</w:t>
      </w:r>
      <w:r w:rsidR="008653A7"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Сводно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8653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653A7"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доклад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8653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содержит:</w:t>
      </w:r>
    </w:p>
    <w:p w14:paraId="58A9F556" w14:textId="77A64473" w:rsidR="008653A7" w:rsidRPr="008653A7" w:rsidRDefault="008653A7" w:rsidP="008653A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а) обобщенные сведения об основных итогах реализации и оценке эффективности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государственных программ (комплексных программ) в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отчетном году (краткие сведения);</w:t>
      </w:r>
    </w:p>
    <w:p w14:paraId="0B35D011" w14:textId="77777777" w:rsidR="008653A7" w:rsidRPr="008653A7" w:rsidRDefault="008653A7" w:rsidP="008653A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б) сведения об интегральной оценке эффективности государственных программ (комплексных программ) в отчетном году;</w:t>
      </w:r>
    </w:p>
    <w:p w14:paraId="2A7BDE44" w14:textId="77777777" w:rsidR="008653A7" w:rsidRPr="008653A7" w:rsidRDefault="008653A7" w:rsidP="008653A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в) сведения об оценке динамики прироста значений показателей государственных программ (комплексных программ);</w:t>
      </w:r>
    </w:p>
    <w:p w14:paraId="6D0A921E" w14:textId="77777777" w:rsidR="008653A7" w:rsidRPr="008653A7" w:rsidRDefault="008653A7" w:rsidP="008653A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г) сведения о плановых и фактических значениях показателей государственных программ (комплексных программ) (в том числе аналитических);</w:t>
      </w:r>
    </w:p>
    <w:p w14:paraId="49948AAD" w14:textId="13EEDB10" w:rsidR="008653A7" w:rsidRPr="008653A7" w:rsidRDefault="008653A7" w:rsidP="008653A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д) сведения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выполнении (достижении) мероприятий (результатов) и контрольных точек структурных элементов государственных программ (комплексных программ) в отчетном году;</w:t>
      </w:r>
    </w:p>
    <w:p w14:paraId="6298D966" w14:textId="22A24CA6" w:rsidR="008653A7" w:rsidRPr="008653A7" w:rsidRDefault="008653A7" w:rsidP="008653A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е) сведения об исполнении областного бюджета (бюджетов государственных внебюджетных фондов Российской Федерации) в части бюджетных ассигнований, предусмотренных на финансовое обеспечение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реализации государственных программ (комплексных программ) в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отчетном году;</w:t>
      </w:r>
    </w:p>
    <w:p w14:paraId="6477FE96" w14:textId="4218B89D" w:rsidR="008653A7" w:rsidRDefault="008653A7" w:rsidP="008653A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ж) общие выводы о реализации государственных программ (комплексных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программ)</w:t>
      </w:r>
      <w:r w:rsidR="001136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за отчетный год, в том числе предложения об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изменении форм и методов управления реализацией государственных программ (комплексных программ), о сокращении на очередной финансовый год и плановый период бюджетных ассигнований на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реализацию государственной программы (комплексной программы) и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(или) досрочном прекращении реализации структурных элементов или государственной программы (комплексной программы) в целом, а также о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8653A7">
        <w:rPr>
          <w:rFonts w:ascii="Times New Roman" w:eastAsia="Times New Roman" w:hAnsi="Times New Roman" w:cs="Times New Roman"/>
          <w:color w:val="auto"/>
          <w:sz w:val="28"/>
          <w:szCs w:val="28"/>
        </w:rPr>
        <w:t>начале реализации новых структурных элементов (при необходимости).</w:t>
      </w:r>
    </w:p>
    <w:p w14:paraId="6D2E6D82" w14:textId="4FB06DF9" w:rsidR="000C0424" w:rsidRDefault="000C0424" w:rsidP="000C042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основании пункта 2.6 </w:t>
      </w:r>
      <w:r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 </w:t>
      </w:r>
      <w:r w:rsidR="00C75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подлежит утверждению </w:t>
      </w:r>
      <w:r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распоряжением Правительства Ивановской области не</w:t>
      </w:r>
      <w:r w:rsidR="00B838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C0424">
        <w:rPr>
          <w:rFonts w:ascii="Times New Roman" w:eastAsia="Times New Roman" w:hAnsi="Times New Roman" w:cs="Times New Roman"/>
          <w:color w:val="auto"/>
          <w:sz w:val="28"/>
          <w:szCs w:val="28"/>
        </w:rPr>
        <w:t>позднее 12 мая года, следующего за отчетным</w:t>
      </w:r>
      <w:r w:rsidR="00C1239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DD83820" w14:textId="4B836C42" w:rsidR="00231F3E" w:rsidRDefault="00A72F8B" w:rsidP="00D758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12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Принятие проекта не потребует выделения дополнительных денежных средств из бюджета Ивановской области, а также признания утратившими силу, </w:t>
      </w:r>
      <w:r w:rsidR="00AD075F">
        <w:rPr>
          <w:rFonts w:ascii="Times New Roman" w:eastAsia="Times New Roman" w:hAnsi="Times New Roman" w:cs="Times New Roman"/>
          <w:color w:val="auto"/>
          <w:sz w:val="28"/>
          <w:szCs w:val="28"/>
        </w:rPr>
        <w:t>изменени</w:t>
      </w:r>
      <w:r w:rsidR="005E237B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="00AD07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912F9">
        <w:rPr>
          <w:rFonts w:ascii="Times New Roman" w:eastAsia="Times New Roman" w:hAnsi="Times New Roman" w:cs="Times New Roman"/>
          <w:color w:val="auto"/>
          <w:sz w:val="28"/>
          <w:szCs w:val="28"/>
        </w:rPr>
        <w:t>либо приняти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9912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D075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иных </w:t>
      </w:r>
      <w:r w:rsidRPr="009912F9">
        <w:rPr>
          <w:rFonts w:ascii="Times New Roman" w:eastAsia="Times New Roman" w:hAnsi="Times New Roman" w:cs="Times New Roman"/>
          <w:color w:val="auto"/>
          <w:sz w:val="28"/>
          <w:szCs w:val="28"/>
        </w:rPr>
        <w:t>нормативных правовых актов Ивановской области.</w:t>
      </w:r>
    </w:p>
    <w:p w14:paraId="762ACCF3" w14:textId="77777777" w:rsidR="00D7581B" w:rsidRDefault="00D7581B" w:rsidP="00D758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B0BA774" w14:textId="77777777" w:rsidR="00D7581B" w:rsidRDefault="00D7581B" w:rsidP="00D758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3058C8C" w14:textId="77777777" w:rsidR="00D7581B" w:rsidRDefault="00D7581B" w:rsidP="00D758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4914" w:type="pct"/>
        <w:tblInd w:w="107" w:type="dxa"/>
        <w:tblLook w:val="00A0" w:firstRow="1" w:lastRow="0" w:firstColumn="1" w:lastColumn="0" w:noHBand="0" w:noVBand="0"/>
      </w:tblPr>
      <w:tblGrid>
        <w:gridCol w:w="5278"/>
        <w:gridCol w:w="3713"/>
      </w:tblGrid>
      <w:tr w:rsidR="00731C7A" w14:paraId="01DA5D30" w14:textId="77777777" w:rsidTr="006B072C">
        <w:trPr>
          <w:trHeight w:val="894"/>
        </w:trPr>
        <w:tc>
          <w:tcPr>
            <w:tcW w:w="2935" w:type="pct"/>
            <w:hideMark/>
          </w:tcPr>
          <w:p w14:paraId="6314DA83" w14:textId="77777777" w:rsidR="00731C7A" w:rsidRDefault="006B072C" w:rsidP="0050031C">
            <w:pPr>
              <w:ind w:left="-107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Член Правительства </w:t>
            </w:r>
          </w:p>
          <w:p w14:paraId="2A717465" w14:textId="14CF9F27" w:rsidR="006B072C" w:rsidRDefault="006B072C" w:rsidP="0050031C">
            <w:pPr>
              <w:ind w:left="-107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Ивановской области – </w:t>
            </w:r>
          </w:p>
          <w:p w14:paraId="15BE39D5" w14:textId="77777777" w:rsidR="005E237B" w:rsidRDefault="006B072C" w:rsidP="0050031C">
            <w:pPr>
              <w:ind w:left="-107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директор Департамента</w:t>
            </w:r>
            <w:r w:rsidR="005E237B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14:paraId="708F6D21" w14:textId="77777777" w:rsidR="005E237B" w:rsidRDefault="005E237B" w:rsidP="0050031C">
            <w:pPr>
              <w:ind w:left="-107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экономического развития </w:t>
            </w:r>
          </w:p>
          <w:p w14:paraId="0AFE1E25" w14:textId="4C8A4BEC" w:rsidR="006B072C" w:rsidRDefault="005E237B" w:rsidP="0050031C">
            <w:pPr>
              <w:ind w:left="-107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и торговли Ивановской области</w:t>
            </w:r>
          </w:p>
        </w:tc>
        <w:tc>
          <w:tcPr>
            <w:tcW w:w="2065" w:type="pct"/>
          </w:tcPr>
          <w:p w14:paraId="31298D64" w14:textId="77777777" w:rsidR="00731C7A" w:rsidRDefault="00731C7A" w:rsidP="00C7509E">
            <w:pPr>
              <w:pStyle w:val="ac"/>
              <w:tabs>
                <w:tab w:val="left" w:pos="5025"/>
              </w:tabs>
              <w:rPr>
                <w:b/>
                <w:sz w:val="27"/>
                <w:szCs w:val="27"/>
              </w:rPr>
            </w:pPr>
          </w:p>
          <w:p w14:paraId="060C8920" w14:textId="35D5C0E2" w:rsidR="006B072C" w:rsidRDefault="006B072C" w:rsidP="00C7509E">
            <w:pPr>
              <w:pStyle w:val="ac"/>
              <w:tabs>
                <w:tab w:val="left" w:pos="5025"/>
              </w:tabs>
              <w:rPr>
                <w:b/>
                <w:sz w:val="27"/>
                <w:szCs w:val="27"/>
              </w:rPr>
            </w:pPr>
          </w:p>
          <w:p w14:paraId="64557923" w14:textId="41C329B2" w:rsidR="005E237B" w:rsidRDefault="005E237B" w:rsidP="00C7509E">
            <w:pPr>
              <w:pStyle w:val="ac"/>
              <w:tabs>
                <w:tab w:val="left" w:pos="5025"/>
              </w:tabs>
              <w:rPr>
                <w:b/>
                <w:sz w:val="27"/>
                <w:szCs w:val="27"/>
              </w:rPr>
            </w:pPr>
          </w:p>
          <w:p w14:paraId="7723711F" w14:textId="77777777" w:rsidR="005E237B" w:rsidRDefault="005E237B" w:rsidP="00C7509E">
            <w:pPr>
              <w:pStyle w:val="ac"/>
              <w:tabs>
                <w:tab w:val="left" w:pos="5025"/>
              </w:tabs>
              <w:rPr>
                <w:b/>
                <w:sz w:val="27"/>
                <w:szCs w:val="27"/>
              </w:rPr>
            </w:pPr>
          </w:p>
          <w:p w14:paraId="2FFC6C7A" w14:textId="6B692C9D" w:rsidR="006B072C" w:rsidRDefault="006B072C" w:rsidP="006B072C">
            <w:pPr>
              <w:pStyle w:val="ac"/>
              <w:tabs>
                <w:tab w:val="left" w:pos="5025"/>
              </w:tabs>
              <w:ind w:firstLine="0"/>
              <w:jc w:val="right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Е.Н. Соколова</w:t>
            </w:r>
          </w:p>
        </w:tc>
      </w:tr>
    </w:tbl>
    <w:p w14:paraId="66EDC3E1" w14:textId="77777777" w:rsidR="00D7581B" w:rsidRPr="009912F9" w:rsidRDefault="00D7581B" w:rsidP="00D758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D7581B" w:rsidRPr="009912F9" w:rsidSect="005E237B">
      <w:headerReference w:type="even" r:id="rId7"/>
      <w:headerReference w:type="default" r:id="rId8"/>
      <w:headerReference w:type="first" r:id="rId9"/>
      <w:type w:val="continuous"/>
      <w:pgSz w:w="11909" w:h="16834"/>
      <w:pgMar w:top="1134" w:right="1276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BB30D" w14:textId="77777777" w:rsidR="00E26B8F" w:rsidRDefault="00E26B8F">
      <w:r>
        <w:separator/>
      </w:r>
    </w:p>
  </w:endnote>
  <w:endnote w:type="continuationSeparator" w:id="0">
    <w:p w14:paraId="1E603996" w14:textId="77777777" w:rsidR="00E26B8F" w:rsidRDefault="00E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25ADA" w14:textId="77777777" w:rsidR="00E26B8F" w:rsidRDefault="00E26B8F">
      <w:r>
        <w:separator/>
      </w:r>
    </w:p>
  </w:footnote>
  <w:footnote w:type="continuationSeparator" w:id="0">
    <w:p w14:paraId="52001123" w14:textId="77777777" w:rsidR="00E26B8F" w:rsidRDefault="00E2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988808"/>
      <w:docPartObj>
        <w:docPartGallery w:val="Page Numbers (Top of Page)"/>
        <w:docPartUnique/>
      </w:docPartObj>
    </w:sdtPr>
    <w:sdtEndPr/>
    <w:sdtContent>
      <w:p w14:paraId="1048664A" w14:textId="4FD5BF1F" w:rsidR="001B498C" w:rsidRDefault="001B49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6F3752" w14:textId="77777777" w:rsidR="00DB6A9E" w:rsidRDefault="00DB6A9E" w:rsidP="00CC4C5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137108"/>
      <w:docPartObj>
        <w:docPartGallery w:val="Page Numbers (Top of Page)"/>
        <w:docPartUnique/>
      </w:docPartObj>
    </w:sdtPr>
    <w:sdtEndPr/>
    <w:sdtContent>
      <w:p w14:paraId="79F55D82" w14:textId="77777777" w:rsidR="001B498C" w:rsidRDefault="001B498C">
        <w:pPr>
          <w:pStyle w:val="a4"/>
          <w:jc w:val="center"/>
        </w:pPr>
      </w:p>
      <w:p w14:paraId="6A0617C8" w14:textId="51509D66" w:rsidR="001B498C" w:rsidRDefault="001B49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781">
          <w:rPr>
            <w:noProof/>
          </w:rPr>
          <w:t>2</w:t>
        </w:r>
        <w:r>
          <w:fldChar w:fldCharType="end"/>
        </w:r>
      </w:p>
    </w:sdtContent>
  </w:sdt>
  <w:p w14:paraId="27D458FE" w14:textId="77777777" w:rsidR="00833BA5" w:rsidRDefault="00833BA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63443" w14:textId="0D208910" w:rsidR="001B498C" w:rsidRDefault="001B498C">
    <w:pPr>
      <w:pStyle w:val="a4"/>
      <w:jc w:val="center"/>
    </w:pPr>
  </w:p>
  <w:p w14:paraId="0071B98B" w14:textId="77777777" w:rsidR="001B498C" w:rsidRDefault="001B49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AF"/>
    <w:rsid w:val="00005C9A"/>
    <w:rsid w:val="000113AF"/>
    <w:rsid w:val="00012091"/>
    <w:rsid w:val="000128DE"/>
    <w:rsid w:val="00016BA0"/>
    <w:rsid w:val="00020A13"/>
    <w:rsid w:val="00023255"/>
    <w:rsid w:val="00023CF2"/>
    <w:rsid w:val="00042682"/>
    <w:rsid w:val="00045B9A"/>
    <w:rsid w:val="0005484E"/>
    <w:rsid w:val="00064CF8"/>
    <w:rsid w:val="000805EA"/>
    <w:rsid w:val="000825CA"/>
    <w:rsid w:val="000C0424"/>
    <w:rsid w:val="000C6FD4"/>
    <w:rsid w:val="000E01F9"/>
    <w:rsid w:val="000F19DA"/>
    <w:rsid w:val="0011361F"/>
    <w:rsid w:val="00121E81"/>
    <w:rsid w:val="00122736"/>
    <w:rsid w:val="00136C0C"/>
    <w:rsid w:val="001550FA"/>
    <w:rsid w:val="00156FB1"/>
    <w:rsid w:val="00163009"/>
    <w:rsid w:val="0019615B"/>
    <w:rsid w:val="001A4DDB"/>
    <w:rsid w:val="001B498C"/>
    <w:rsid w:val="001B7B7C"/>
    <w:rsid w:val="001C4A00"/>
    <w:rsid w:val="001D01DB"/>
    <w:rsid w:val="001D2679"/>
    <w:rsid w:val="001D5FC5"/>
    <w:rsid w:val="001E0465"/>
    <w:rsid w:val="001F5E6C"/>
    <w:rsid w:val="002040D5"/>
    <w:rsid w:val="0021421C"/>
    <w:rsid w:val="00231F3E"/>
    <w:rsid w:val="002472DD"/>
    <w:rsid w:val="00251E54"/>
    <w:rsid w:val="00262985"/>
    <w:rsid w:val="00271565"/>
    <w:rsid w:val="002732C7"/>
    <w:rsid w:val="00292CD1"/>
    <w:rsid w:val="002A053F"/>
    <w:rsid w:val="002D087D"/>
    <w:rsid w:val="002D5BAB"/>
    <w:rsid w:val="002D6102"/>
    <w:rsid w:val="002E0469"/>
    <w:rsid w:val="002E1E23"/>
    <w:rsid w:val="00301A53"/>
    <w:rsid w:val="003020FA"/>
    <w:rsid w:val="00305FCB"/>
    <w:rsid w:val="00306370"/>
    <w:rsid w:val="00337552"/>
    <w:rsid w:val="00344A7F"/>
    <w:rsid w:val="00361516"/>
    <w:rsid w:val="003A2022"/>
    <w:rsid w:val="003A3069"/>
    <w:rsid w:val="003C1A52"/>
    <w:rsid w:val="003C40F3"/>
    <w:rsid w:val="003C4A57"/>
    <w:rsid w:val="003E0DF4"/>
    <w:rsid w:val="003E31B6"/>
    <w:rsid w:val="00405526"/>
    <w:rsid w:val="00441A46"/>
    <w:rsid w:val="00447744"/>
    <w:rsid w:val="00451B2F"/>
    <w:rsid w:val="004622EC"/>
    <w:rsid w:val="00466940"/>
    <w:rsid w:val="0046758B"/>
    <w:rsid w:val="004A27FB"/>
    <w:rsid w:val="004B2BB8"/>
    <w:rsid w:val="004C03A7"/>
    <w:rsid w:val="004D335A"/>
    <w:rsid w:val="004E162B"/>
    <w:rsid w:val="004E5976"/>
    <w:rsid w:val="004F01D5"/>
    <w:rsid w:val="0050031C"/>
    <w:rsid w:val="0050368A"/>
    <w:rsid w:val="00504F8E"/>
    <w:rsid w:val="0050557F"/>
    <w:rsid w:val="00506AA8"/>
    <w:rsid w:val="00517AC9"/>
    <w:rsid w:val="0052074C"/>
    <w:rsid w:val="00536108"/>
    <w:rsid w:val="00551839"/>
    <w:rsid w:val="005562C0"/>
    <w:rsid w:val="00564A3C"/>
    <w:rsid w:val="00572532"/>
    <w:rsid w:val="00580DC5"/>
    <w:rsid w:val="005A16DB"/>
    <w:rsid w:val="005A5516"/>
    <w:rsid w:val="005C4775"/>
    <w:rsid w:val="005D2A02"/>
    <w:rsid w:val="005D3878"/>
    <w:rsid w:val="005D4E2C"/>
    <w:rsid w:val="005D629F"/>
    <w:rsid w:val="005E237B"/>
    <w:rsid w:val="006005C4"/>
    <w:rsid w:val="00610F7B"/>
    <w:rsid w:val="00614822"/>
    <w:rsid w:val="00624866"/>
    <w:rsid w:val="00631F61"/>
    <w:rsid w:val="00635062"/>
    <w:rsid w:val="006368C4"/>
    <w:rsid w:val="00656A61"/>
    <w:rsid w:val="00683DA5"/>
    <w:rsid w:val="006A3781"/>
    <w:rsid w:val="006B072C"/>
    <w:rsid w:val="006B54F2"/>
    <w:rsid w:val="006D6871"/>
    <w:rsid w:val="00702BE9"/>
    <w:rsid w:val="0070730E"/>
    <w:rsid w:val="007221DD"/>
    <w:rsid w:val="00731C7A"/>
    <w:rsid w:val="00740A84"/>
    <w:rsid w:val="007459A8"/>
    <w:rsid w:val="0076357D"/>
    <w:rsid w:val="007659A3"/>
    <w:rsid w:val="00767CEC"/>
    <w:rsid w:val="00773442"/>
    <w:rsid w:val="007D5502"/>
    <w:rsid w:val="007F2FC7"/>
    <w:rsid w:val="007F4335"/>
    <w:rsid w:val="00803348"/>
    <w:rsid w:val="0081144A"/>
    <w:rsid w:val="00825D00"/>
    <w:rsid w:val="00833BA5"/>
    <w:rsid w:val="00837F0D"/>
    <w:rsid w:val="0084138D"/>
    <w:rsid w:val="00842E7B"/>
    <w:rsid w:val="008572DF"/>
    <w:rsid w:val="008653A7"/>
    <w:rsid w:val="00873034"/>
    <w:rsid w:val="008813CF"/>
    <w:rsid w:val="00896CAF"/>
    <w:rsid w:val="008A1470"/>
    <w:rsid w:val="008B1FA2"/>
    <w:rsid w:val="008D554A"/>
    <w:rsid w:val="009017FA"/>
    <w:rsid w:val="009033D4"/>
    <w:rsid w:val="00903424"/>
    <w:rsid w:val="00904A43"/>
    <w:rsid w:val="009132EB"/>
    <w:rsid w:val="00914270"/>
    <w:rsid w:val="0096440D"/>
    <w:rsid w:val="009912F9"/>
    <w:rsid w:val="009A7E23"/>
    <w:rsid w:val="009E42E6"/>
    <w:rsid w:val="009F0FE8"/>
    <w:rsid w:val="00A0350C"/>
    <w:rsid w:val="00A11B06"/>
    <w:rsid w:val="00A564D8"/>
    <w:rsid w:val="00A66CB6"/>
    <w:rsid w:val="00A72F8B"/>
    <w:rsid w:val="00A85C8B"/>
    <w:rsid w:val="00A943AA"/>
    <w:rsid w:val="00A95FA2"/>
    <w:rsid w:val="00AA2C6F"/>
    <w:rsid w:val="00AA550E"/>
    <w:rsid w:val="00AA6CFA"/>
    <w:rsid w:val="00AC30C5"/>
    <w:rsid w:val="00AC6A66"/>
    <w:rsid w:val="00AD075F"/>
    <w:rsid w:val="00AD3995"/>
    <w:rsid w:val="00AE120E"/>
    <w:rsid w:val="00AE14C2"/>
    <w:rsid w:val="00AF7817"/>
    <w:rsid w:val="00B34E0C"/>
    <w:rsid w:val="00B44376"/>
    <w:rsid w:val="00B452D5"/>
    <w:rsid w:val="00B5030B"/>
    <w:rsid w:val="00B50AA1"/>
    <w:rsid w:val="00B56534"/>
    <w:rsid w:val="00B60D8F"/>
    <w:rsid w:val="00B827C9"/>
    <w:rsid w:val="00B838C8"/>
    <w:rsid w:val="00B8431F"/>
    <w:rsid w:val="00B93331"/>
    <w:rsid w:val="00BA5FB6"/>
    <w:rsid w:val="00BC49C5"/>
    <w:rsid w:val="00BE70D8"/>
    <w:rsid w:val="00BF26C6"/>
    <w:rsid w:val="00BF3599"/>
    <w:rsid w:val="00C12394"/>
    <w:rsid w:val="00C15329"/>
    <w:rsid w:val="00C33F62"/>
    <w:rsid w:val="00C43C75"/>
    <w:rsid w:val="00C52373"/>
    <w:rsid w:val="00C60349"/>
    <w:rsid w:val="00C63911"/>
    <w:rsid w:val="00C64848"/>
    <w:rsid w:val="00C65531"/>
    <w:rsid w:val="00C712DA"/>
    <w:rsid w:val="00C7509E"/>
    <w:rsid w:val="00C9256C"/>
    <w:rsid w:val="00C94B3A"/>
    <w:rsid w:val="00CB3C4D"/>
    <w:rsid w:val="00CB7B1D"/>
    <w:rsid w:val="00CC1802"/>
    <w:rsid w:val="00CC3E14"/>
    <w:rsid w:val="00CC4C55"/>
    <w:rsid w:val="00CC75D5"/>
    <w:rsid w:val="00CE1EA2"/>
    <w:rsid w:val="00CE5362"/>
    <w:rsid w:val="00CE77A4"/>
    <w:rsid w:val="00CF3EFA"/>
    <w:rsid w:val="00D009A8"/>
    <w:rsid w:val="00D0671F"/>
    <w:rsid w:val="00D11A1F"/>
    <w:rsid w:val="00D432DB"/>
    <w:rsid w:val="00D5712B"/>
    <w:rsid w:val="00D65276"/>
    <w:rsid w:val="00D71549"/>
    <w:rsid w:val="00D730CB"/>
    <w:rsid w:val="00D754F3"/>
    <w:rsid w:val="00D755BB"/>
    <w:rsid w:val="00D7581B"/>
    <w:rsid w:val="00D75E10"/>
    <w:rsid w:val="00D86BCC"/>
    <w:rsid w:val="00D94579"/>
    <w:rsid w:val="00DA5D72"/>
    <w:rsid w:val="00DA6899"/>
    <w:rsid w:val="00DB1BCE"/>
    <w:rsid w:val="00DB6A9E"/>
    <w:rsid w:val="00DC1A2F"/>
    <w:rsid w:val="00DC5667"/>
    <w:rsid w:val="00DD25FA"/>
    <w:rsid w:val="00DD6D2D"/>
    <w:rsid w:val="00DF73D2"/>
    <w:rsid w:val="00E07985"/>
    <w:rsid w:val="00E11CB2"/>
    <w:rsid w:val="00E26184"/>
    <w:rsid w:val="00E26609"/>
    <w:rsid w:val="00E26B8F"/>
    <w:rsid w:val="00E5777E"/>
    <w:rsid w:val="00E80AD9"/>
    <w:rsid w:val="00EA6863"/>
    <w:rsid w:val="00EC1080"/>
    <w:rsid w:val="00ED5BA0"/>
    <w:rsid w:val="00F013F1"/>
    <w:rsid w:val="00F10AFA"/>
    <w:rsid w:val="00F11E0D"/>
    <w:rsid w:val="00F1324A"/>
    <w:rsid w:val="00F220C3"/>
    <w:rsid w:val="00F33DBA"/>
    <w:rsid w:val="00F851AF"/>
    <w:rsid w:val="00FA089E"/>
    <w:rsid w:val="00FC5231"/>
    <w:rsid w:val="00FC6CF8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76D4778"/>
  <w15:docId w15:val="{7DA61F94-432F-4362-8F8D-9039038F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80"/>
      <w:u w:val="single"/>
    </w:rPr>
  </w:style>
  <w:style w:type="paragraph" w:customStyle="1" w:styleId="ConsPlusNormal">
    <w:name w:val="ConsPlusNormal"/>
    <w:rsid w:val="000F19DA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4">
    <w:name w:val="header"/>
    <w:basedOn w:val="a"/>
    <w:link w:val="a5"/>
    <w:uiPriority w:val="99"/>
    <w:rsid w:val="00CC4C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C55"/>
  </w:style>
  <w:style w:type="paragraph" w:styleId="a7">
    <w:name w:val="footer"/>
    <w:basedOn w:val="a"/>
    <w:link w:val="a8"/>
    <w:rsid w:val="00DA5D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A5D72"/>
    <w:rPr>
      <w:color w:val="000000"/>
      <w:sz w:val="24"/>
      <w:szCs w:val="24"/>
    </w:rPr>
  </w:style>
  <w:style w:type="paragraph" w:styleId="a9">
    <w:name w:val="Balloon Text"/>
    <w:basedOn w:val="a"/>
    <w:link w:val="aa"/>
    <w:rsid w:val="00DA5D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A5D72"/>
    <w:rPr>
      <w:rFonts w:ascii="Tahoma" w:hAnsi="Tahoma" w:cs="Tahoma"/>
      <w:color w:val="000000"/>
      <w:sz w:val="16"/>
      <w:szCs w:val="16"/>
    </w:rPr>
  </w:style>
  <w:style w:type="paragraph" w:customStyle="1" w:styleId="1">
    <w:name w:val="Знак1 Знак Знак Знак"/>
    <w:basedOn w:val="a"/>
    <w:rsid w:val="00301A53"/>
    <w:pPr>
      <w:spacing w:after="160" w:line="240" w:lineRule="exact"/>
    </w:pPr>
    <w:rPr>
      <w:rFonts w:ascii="Verdana" w:eastAsia="Times New Roman" w:hAnsi="Verdana" w:cs="Verdana"/>
      <w:color w:val="auto"/>
      <w:lang w:val="en-US" w:eastAsia="en-US"/>
    </w:rPr>
  </w:style>
  <w:style w:type="paragraph" w:styleId="ab">
    <w:name w:val="List Paragraph"/>
    <w:basedOn w:val="a"/>
    <w:uiPriority w:val="34"/>
    <w:qFormat/>
    <w:rsid w:val="00B827C9"/>
    <w:pPr>
      <w:ind w:left="720"/>
      <w:contextualSpacing/>
    </w:pPr>
  </w:style>
  <w:style w:type="paragraph" w:styleId="ac">
    <w:name w:val="Body Text Indent"/>
    <w:basedOn w:val="a"/>
    <w:link w:val="ad"/>
    <w:rsid w:val="00441A46"/>
    <w:pPr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441A46"/>
    <w:rPr>
      <w:rFonts w:ascii="Times New Roman" w:eastAsia="Times New Roman" w:hAnsi="Times New Roman" w:cs="Times New Roman"/>
      <w:sz w:val="28"/>
    </w:rPr>
  </w:style>
  <w:style w:type="table" w:styleId="ae">
    <w:name w:val="Table Grid"/>
    <w:basedOn w:val="a1"/>
    <w:uiPriority w:val="59"/>
    <w:rsid w:val="00CE1EA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1B498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BE254-9F8A-405E-AD0E-AB588B3A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3610</CharactersWithSpaces>
  <SharedDoc>false</SharedDoc>
  <HLinks>
    <vt:vector size="6" baseType="variant">
      <vt:variant>
        <vt:i4>6094935</vt:i4>
      </vt:variant>
      <vt:variant>
        <vt:i4>0</vt:i4>
      </vt:variant>
      <vt:variant>
        <vt:i4>0</vt:i4>
      </vt:variant>
      <vt:variant>
        <vt:i4>5</vt:i4>
      </vt:variant>
      <vt:variant>
        <vt:lpwstr>http://ivanovoobl.ru/department.aspx?part=48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gomzina</dc:creator>
  <cp:lastModifiedBy>Денисова Светлана Валерьевна</cp:lastModifiedBy>
  <cp:revision>24</cp:revision>
  <cp:lastPrinted>2026-05-05T08:27:00Z</cp:lastPrinted>
  <dcterms:created xsi:type="dcterms:W3CDTF">2025-01-24T09:50:00Z</dcterms:created>
  <dcterms:modified xsi:type="dcterms:W3CDTF">2026-05-05T08:43:00Z</dcterms:modified>
</cp:coreProperties>
</file>