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319" w:rsidRDefault="00560842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Справка о социально-экономическом развитии</w:t>
      </w:r>
    </w:p>
    <w:p w:rsidR="00912319" w:rsidRDefault="00560842">
      <w:pPr>
        <w:jc w:val="center"/>
        <w:rPr>
          <w:b/>
          <w:sz w:val="28"/>
        </w:rPr>
      </w:pPr>
      <w:r>
        <w:rPr>
          <w:b/>
          <w:sz w:val="28"/>
        </w:rPr>
        <w:t>Ивановской области за январь – июль 2026 года</w:t>
      </w:r>
    </w:p>
    <w:p w:rsidR="00912319" w:rsidRDefault="00912319">
      <w:pPr>
        <w:ind w:firstLine="709"/>
        <w:jc w:val="center"/>
        <w:rPr>
          <w:b/>
          <w:sz w:val="16"/>
        </w:rPr>
      </w:pPr>
    </w:p>
    <w:p w:rsidR="00912319" w:rsidRDefault="00560842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По оперативным данным </w:t>
      </w:r>
      <w:proofErr w:type="spellStart"/>
      <w:r>
        <w:rPr>
          <w:sz w:val="28"/>
        </w:rPr>
        <w:t>Ивановостата</w:t>
      </w:r>
      <w:proofErr w:type="spellEnd"/>
      <w:r>
        <w:rPr>
          <w:sz w:val="28"/>
        </w:rPr>
        <w:t>, экономическое положение Ивановской области за январь – июль 2026 года характеризуется следующими тенденциями.</w:t>
      </w:r>
    </w:p>
    <w:p w:rsidR="00912319" w:rsidRDefault="00560842">
      <w:pPr>
        <w:ind w:right="-1" w:firstLine="709"/>
        <w:jc w:val="both"/>
        <w:rPr>
          <w:sz w:val="28"/>
        </w:rPr>
      </w:pPr>
      <w:r>
        <w:rPr>
          <w:sz w:val="28"/>
        </w:rPr>
        <w:t>Отмечен рост оборот</w:t>
      </w:r>
      <w:r>
        <w:rPr>
          <w:sz w:val="28"/>
        </w:rPr>
        <w:t>а розничной торговли - на 12,8% и объема платных услуг населению - на 2%.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структуре оборота розничной торговли удельный вес пищевых продуктов, включая напитки, и табачных изделий составил 49,8%, непродовольственных товаров – 50,2 (в январе – июле 2025 го</w:t>
      </w:r>
      <w:r>
        <w:rPr>
          <w:sz w:val="28"/>
        </w:rPr>
        <w:t>да – 50,8% и 49,2% соответственно).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январе – июле 2026 года оборот розничной торговли на 98,9% формировался торгующими организациями и индивидуальными предпринимателями, осуществляющими деятельность вне рынка, доля розничных рынков и ярмарок составила 1,</w:t>
      </w:r>
      <w:r>
        <w:rPr>
          <w:sz w:val="28"/>
        </w:rPr>
        <w:t>1% (за 7 месяцев 2025 года – соответственно 98,8% и 1,2%).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Индекс промышленного производства (ИПП) составил 93,9% (в Российской Федерации – 100,1%).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обрабатывающих производствах, на долю которых приходится 87,5% общего объема промышленного производства в</w:t>
      </w:r>
      <w:r>
        <w:rPr>
          <w:sz w:val="28"/>
        </w:rPr>
        <w:t xml:space="preserve"> Ивановской области, индекс производства составил 93,8%, в организациях по обеспечению электрической энергией, газом и паром; кондиционированию воздуха – 95,3%, по водоснабжению; водоотведению, организации сбора и утилизации отходов, деятельности по ликвид</w:t>
      </w:r>
      <w:r>
        <w:rPr>
          <w:sz w:val="28"/>
        </w:rPr>
        <w:t xml:space="preserve">ации загрязнений – 94,7%, </w:t>
      </w:r>
      <w:r>
        <w:rPr>
          <w:sz w:val="28"/>
        </w:rPr>
        <w:br/>
        <w:t>по добыче полезных ископаемых – 73,5%.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 xml:space="preserve">Рост отмечен в отдельных секторах обрабатывающих производств: 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производстве напитков – на 41,3%;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производстве автотранспортных средств, прицепов и полуприцепов – на 18,7%;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производстве</w:t>
      </w:r>
      <w:r>
        <w:rPr>
          <w:sz w:val="28"/>
        </w:rPr>
        <w:t xml:space="preserve"> химических веществ и химических продуктов – на 12,8%;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производстве пищевых продуктов - на 3,2%.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 xml:space="preserve">Индексы производства в традиционных для региона отраслях составили: </w:t>
      </w:r>
      <w:r>
        <w:rPr>
          <w:sz w:val="28"/>
        </w:rPr>
        <w:br/>
        <w:t>в производстве текстильных изделий – 99,8%, в производстве одежды – 91</w:t>
      </w:r>
      <w:r>
        <w:rPr>
          <w:sz w:val="28"/>
        </w:rPr>
        <w:t>%.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>В структуре обр</w:t>
      </w:r>
      <w:r>
        <w:rPr>
          <w:sz w:val="28"/>
        </w:rPr>
        <w:t>абатывающих производств за 7 месяцев 2026 года наибольший удельный вес занимали: производство текстильных изделий и одежды – 45,6%; машиностроение – 15,8%; производство пищевых продуктов и напитков – 9,4%. Удельный вес этих отраслей составил 70,8% от общег</w:t>
      </w:r>
      <w:r>
        <w:rPr>
          <w:sz w:val="28"/>
        </w:rPr>
        <w:t>о объема отгруженных товаров обрабатывающих производств.</w:t>
      </w:r>
    </w:p>
    <w:p w:rsidR="00912319" w:rsidRDefault="00560842">
      <w:pPr>
        <w:ind w:right="-1" w:firstLine="709"/>
        <w:jc w:val="both"/>
        <w:rPr>
          <w:sz w:val="28"/>
        </w:rPr>
      </w:pPr>
      <w:r>
        <w:rPr>
          <w:sz w:val="28"/>
        </w:rPr>
        <w:t xml:space="preserve">Индекс потребительских цен (ИПЦ) за январь - июль 2026 года вырос на 5,6% </w:t>
      </w:r>
      <w:r>
        <w:rPr>
          <w:sz w:val="28"/>
        </w:rPr>
        <w:br/>
        <w:t>к январю - июлю 2025 года. В июле 2026 года по сравнению с июнем 2026 года ИПЦ составил 100,9%, по сравнению с декабрем 2025</w:t>
      </w:r>
      <w:r>
        <w:rPr>
          <w:sz w:val="28"/>
        </w:rPr>
        <w:t xml:space="preserve"> года – 104,7%. Наибольшее влияние на увеличение инфляции в июне 2026 года по сравнению с предыдущим месяцем текущего года оказали рост цен на непродовольственные товары (на 2,3%) и на продовольственную группу товаров (на 0,4%), при этом цены на услуги сни</w:t>
      </w:r>
      <w:r>
        <w:rPr>
          <w:sz w:val="28"/>
        </w:rPr>
        <w:t>зились (на 0,4%).</w:t>
      </w:r>
    </w:p>
    <w:p w:rsidR="00912319" w:rsidRDefault="00560842">
      <w:pPr>
        <w:ind w:firstLine="709"/>
        <w:jc w:val="both"/>
        <w:rPr>
          <w:sz w:val="28"/>
        </w:rPr>
      </w:pPr>
      <w:r>
        <w:rPr>
          <w:sz w:val="28"/>
        </w:rPr>
        <w:t xml:space="preserve">Объем инвестиций в основной капитал за январь - июнь 2026 года составил </w:t>
      </w:r>
      <w:r>
        <w:rPr>
          <w:sz w:val="28"/>
        </w:rPr>
        <w:br/>
        <w:t xml:space="preserve">29,7 млрд рублей, или 102,1% в сопоставимых ценах к уровню января - июня 2025 года </w:t>
      </w:r>
      <w:r>
        <w:rPr>
          <w:sz w:val="28"/>
        </w:rPr>
        <w:br/>
      </w:r>
      <w:r>
        <w:rPr>
          <w:sz w:val="28"/>
        </w:rPr>
        <w:t>(в Российской Федерации – 90,1%).</w:t>
      </w:r>
    </w:p>
    <w:p w:rsidR="00912319" w:rsidRDefault="00560842">
      <w:pPr>
        <w:ind w:right="-1" w:firstLine="709"/>
        <w:jc w:val="both"/>
        <w:rPr>
          <w:sz w:val="28"/>
        </w:rPr>
      </w:pPr>
      <w:r>
        <w:rPr>
          <w:sz w:val="28"/>
        </w:rPr>
        <w:t>За январь – июнь 2026 года среднемесячная номин</w:t>
      </w:r>
      <w:r>
        <w:rPr>
          <w:sz w:val="28"/>
        </w:rPr>
        <w:t>альная заработная плата выросла на 13,1% к январю - июню 2025 года, реальная заработная плата с учетом инфляции составила 107,2%.</w:t>
      </w:r>
    </w:p>
    <w:p w:rsidR="00912319" w:rsidRDefault="00560842">
      <w:pPr>
        <w:ind w:right="-1" w:firstLine="709"/>
        <w:jc w:val="both"/>
        <w:rPr>
          <w:sz w:val="28"/>
        </w:rPr>
      </w:pPr>
      <w:r>
        <w:rPr>
          <w:sz w:val="28"/>
        </w:rPr>
        <w:t xml:space="preserve">Уровень безработицы по отношению к экономически активному населению </w:t>
      </w:r>
      <w:r>
        <w:rPr>
          <w:sz w:val="28"/>
        </w:rPr>
        <w:br/>
        <w:t>по состоянию на 01.08.2026 составил 0,3%.</w:t>
      </w:r>
    </w:p>
    <w:p w:rsidR="00912319" w:rsidRDefault="00912319">
      <w:pPr>
        <w:rPr>
          <w:sz w:val="28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2"/>
        <w:gridCol w:w="2127"/>
        <w:gridCol w:w="2351"/>
      </w:tblGrid>
      <w:tr w:rsidR="00912319">
        <w:trPr>
          <w:trHeight w:val="821"/>
          <w:tblHeader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rStyle w:val="17"/>
              </w:rPr>
              <w:lastRenderedPageBreak/>
              <w:t>Показатели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rStyle w:val="17"/>
                <w:b w:val="0"/>
              </w:rPr>
              <w:t>янв</w:t>
            </w:r>
            <w:r>
              <w:rPr>
                <w:rStyle w:val="17"/>
                <w:b w:val="0"/>
              </w:rPr>
              <w:t>арь – июль 2026 года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rStyle w:val="17"/>
                <w:b w:val="0"/>
                <w:i/>
              </w:rPr>
            </w:pPr>
            <w:r>
              <w:rPr>
                <w:rStyle w:val="17"/>
                <w:b w:val="0"/>
                <w:i/>
              </w:rPr>
              <w:t>в %</w:t>
            </w:r>
          </w:p>
          <w:p w:rsidR="00912319" w:rsidRDefault="00560842">
            <w:pPr>
              <w:jc w:val="center"/>
              <w:rPr>
                <w:rStyle w:val="17"/>
                <w:b w:val="0"/>
                <w:i/>
              </w:rPr>
            </w:pPr>
            <w:r>
              <w:rPr>
                <w:rStyle w:val="17"/>
                <w:b w:val="0"/>
                <w:i/>
              </w:rPr>
              <w:t>к январю - июлю</w:t>
            </w:r>
          </w:p>
          <w:p w:rsidR="00912319" w:rsidRDefault="00560842">
            <w:pPr>
              <w:jc w:val="center"/>
              <w:rPr>
                <w:b/>
              </w:rPr>
            </w:pPr>
            <w:r>
              <w:rPr>
                <w:rStyle w:val="17"/>
                <w:b w:val="0"/>
                <w:i/>
              </w:rPr>
              <w:t>2025 года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rPr>
                <w:rStyle w:val="17"/>
              </w:rPr>
              <w:t>Индекс промышленного производства</w:t>
            </w:r>
            <w:r>
              <w:t>, %</w:t>
            </w:r>
          </w:p>
          <w:p w:rsidR="00912319" w:rsidRDefault="00560842">
            <w:r>
              <w:t xml:space="preserve">в том числе: 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93,9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t xml:space="preserve">   добыча полезных ископаемых,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73,5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t xml:space="preserve">   обрабатывающие производства,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93,8</w:t>
            </w:r>
          </w:p>
        </w:tc>
      </w:tr>
      <w:tr w:rsidR="00912319">
        <w:trPr>
          <w:trHeight w:val="508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t xml:space="preserve">   обеспечение электрической энергией, газом и паром; кондиционирование воздуха,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95,3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t xml:space="preserve">   водоснабжение; водоотведение, организация сбора и утилизации отходов, деятельность по ликвидации загрязнений,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94,7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</w:rPr>
            </w:pPr>
            <w:r>
              <w:rPr>
                <w:rStyle w:val="17"/>
              </w:rPr>
              <w:t xml:space="preserve">Объем инвестиций в основной капитал </w:t>
            </w:r>
          </w:p>
          <w:p w:rsidR="00912319" w:rsidRDefault="00560842">
            <w:pPr>
              <w:rPr>
                <w:rStyle w:val="17"/>
                <w:rFonts w:ascii="Open Sans" w:hAnsi="Open Sans"/>
                <w:sz w:val="26"/>
              </w:rPr>
            </w:pPr>
            <w:r>
              <w:t>(январь – июнь 2026 года)</w:t>
            </w:r>
            <w:r>
              <w:rPr>
                <w:rStyle w:val="17"/>
                <w:b w:val="0"/>
              </w:rPr>
              <w:t>,</w:t>
            </w:r>
            <w:r>
              <w:rPr>
                <w:rStyle w:val="17"/>
              </w:rPr>
              <w:t xml:space="preserve"> </w:t>
            </w:r>
            <w:r>
              <w:rPr>
                <w:rStyle w:val="17"/>
                <w:b w:val="0"/>
              </w:rPr>
              <w:t>млн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29 673,3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102,1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rPr>
                <w:rStyle w:val="17"/>
              </w:rPr>
              <w:t xml:space="preserve">Ввод в действие общей площади домов, </w:t>
            </w:r>
            <w:r>
              <w:t>тыс. кв. м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307,9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92,6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rPr>
                <w:rStyle w:val="17"/>
              </w:rPr>
              <w:t>Объём работ, выполненных по виду деятельности «строительство»</w:t>
            </w:r>
            <w:r>
              <w:t>, млн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9 620,9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40,7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r>
              <w:rPr>
                <w:rStyle w:val="17"/>
              </w:rPr>
              <w:t>Оборот розничной торговли</w:t>
            </w:r>
            <w:r>
              <w:t>, млн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223 348,9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112,8</w:t>
            </w:r>
          </w:p>
        </w:tc>
      </w:tr>
      <w:tr w:rsidR="00912319">
        <w:trPr>
          <w:trHeight w:val="481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  <w:highlight w:val="yellow"/>
              </w:rPr>
            </w:pPr>
            <w:r>
              <w:rPr>
                <w:rStyle w:val="17"/>
              </w:rPr>
              <w:t xml:space="preserve">Объем платных услуг, оказанных населению области, </w:t>
            </w:r>
            <w:r>
              <w:rPr>
                <w:rStyle w:val="17"/>
                <w:b w:val="0"/>
              </w:rPr>
              <w:t>млн 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rStyle w:val="17"/>
                <w:b w:val="0"/>
              </w:rPr>
            </w:pPr>
            <w:r>
              <w:rPr>
                <w:rStyle w:val="17"/>
                <w:b w:val="0"/>
              </w:rPr>
              <w:t>50 794,7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rStyle w:val="17"/>
              </w:rPr>
            </w:pPr>
            <w:r>
              <w:rPr>
                <w:rStyle w:val="17"/>
              </w:rPr>
              <w:t>102,0</w:t>
            </w:r>
          </w:p>
        </w:tc>
      </w:tr>
      <w:tr w:rsidR="00912319">
        <w:trPr>
          <w:trHeight w:val="430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</w:rPr>
            </w:pPr>
            <w:r>
              <w:rPr>
                <w:rStyle w:val="17"/>
              </w:rPr>
              <w:t>Индекс потребительских цен</w:t>
            </w:r>
          </w:p>
          <w:p w:rsidR="00912319" w:rsidRDefault="00560842">
            <w:pPr>
              <w:rPr>
                <w:rStyle w:val="17"/>
                <w:b w:val="0"/>
              </w:rPr>
            </w:pPr>
            <w:r>
              <w:rPr>
                <w:rStyle w:val="17"/>
                <w:b w:val="0"/>
              </w:rPr>
              <w:t>(к январю – июлю 2025 года),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105,6</w:t>
            </w:r>
          </w:p>
        </w:tc>
      </w:tr>
      <w:tr w:rsidR="00912319">
        <w:trPr>
          <w:trHeight w:val="583"/>
        </w:trPr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apple-converted-space0"/>
              </w:rPr>
            </w:pPr>
            <w:r>
              <w:rPr>
                <w:rStyle w:val="17"/>
              </w:rPr>
              <w:t>Индекс потребительских цен</w:t>
            </w:r>
          </w:p>
          <w:p w:rsidR="00912319" w:rsidRDefault="00560842">
            <w:pPr>
              <w:rPr>
                <w:rStyle w:val="17"/>
              </w:rPr>
            </w:pPr>
            <w:r>
              <w:t>(к декабрю 2025 года),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</w:pPr>
            <w:r>
              <w:t>104,7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</w:rPr>
            </w:pPr>
            <w:r>
              <w:rPr>
                <w:rStyle w:val="17"/>
              </w:rPr>
              <w:t>Среднемесячная заработная плата</w:t>
            </w:r>
            <w:r>
              <w:rPr>
                <w:rStyle w:val="17"/>
              </w:rPr>
              <w:br/>
            </w:r>
            <w:r>
              <w:t>(январь - июнь</w:t>
            </w:r>
            <w:r>
              <w:t xml:space="preserve"> 2026 года)</w:t>
            </w:r>
            <w:r>
              <w:rPr>
                <w:rStyle w:val="17"/>
                <w:b w:val="0"/>
              </w:rPr>
              <w:t>,</w:t>
            </w:r>
            <w:r>
              <w:rPr>
                <w:rStyle w:val="17"/>
              </w:rPr>
              <w:t xml:space="preserve"> </w:t>
            </w:r>
            <w:r>
              <w:t>рублей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sz w:val="20"/>
              </w:rPr>
            </w:pPr>
            <w:r>
              <w:t>62 714,5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113,1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</w:rPr>
            </w:pPr>
            <w:r>
              <w:rPr>
                <w:rStyle w:val="17"/>
              </w:rPr>
              <w:t xml:space="preserve">Реальная заработная плата </w:t>
            </w:r>
          </w:p>
          <w:p w:rsidR="00912319" w:rsidRDefault="00560842">
            <w:pPr>
              <w:rPr>
                <w:rStyle w:val="17"/>
              </w:rPr>
            </w:pPr>
            <w:r>
              <w:t>(январь - июнь 2026 года)</w:t>
            </w:r>
            <w:r>
              <w:rPr>
                <w:rStyle w:val="17"/>
                <w:b w:val="0"/>
              </w:rPr>
              <w:t>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107,2</w:t>
            </w:r>
          </w:p>
        </w:tc>
      </w:tr>
      <w:tr w:rsidR="00912319">
        <w:tc>
          <w:tcPr>
            <w:tcW w:w="601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rPr>
                <w:rStyle w:val="17"/>
              </w:rPr>
            </w:pPr>
            <w:r>
              <w:rPr>
                <w:rStyle w:val="17"/>
              </w:rPr>
              <w:t xml:space="preserve">Уровень безработицы к экономически активному населению </w:t>
            </w:r>
            <w:r>
              <w:t>на конец июля, %</w:t>
            </w:r>
          </w:p>
        </w:tc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0,3</w:t>
            </w:r>
          </w:p>
        </w:tc>
        <w:tc>
          <w:tcPr>
            <w:tcW w:w="23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12319" w:rsidRDefault="0056084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912319" w:rsidRDefault="00912319">
      <w:pPr>
        <w:ind w:firstLine="709"/>
        <w:contextualSpacing/>
        <w:jc w:val="both"/>
        <w:rPr>
          <w:sz w:val="16"/>
        </w:rPr>
      </w:pPr>
    </w:p>
    <w:p w:rsidR="00912319" w:rsidRDefault="00912319">
      <w:pPr>
        <w:ind w:firstLine="709"/>
        <w:contextualSpacing/>
        <w:jc w:val="both"/>
        <w:rPr>
          <w:sz w:val="16"/>
        </w:rPr>
      </w:pPr>
    </w:p>
    <w:p w:rsidR="00912319" w:rsidRDefault="00912319">
      <w:pPr>
        <w:ind w:firstLine="709"/>
        <w:contextualSpacing/>
        <w:jc w:val="both"/>
        <w:rPr>
          <w:sz w:val="16"/>
        </w:rPr>
      </w:pPr>
    </w:p>
    <w:sectPr w:rsidR="00912319">
      <w:headerReference w:type="default" r:id="rId6"/>
      <w:footerReference w:type="default" r:id="rId7"/>
      <w:pgSz w:w="11906" w:h="16838"/>
      <w:pgMar w:top="567" w:right="567" w:bottom="567" w:left="567" w:header="227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0842">
      <w:r>
        <w:separator/>
      </w:r>
    </w:p>
  </w:endnote>
  <w:endnote w:type="continuationSeparator" w:id="0">
    <w:p w:rsidR="00000000" w:rsidRDefault="0056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19" w:rsidRDefault="00560842">
    <w:pPr>
      <w:pStyle w:val="ab"/>
      <w:ind w:right="360"/>
      <w:jc w:val="right"/>
    </w:pPr>
    <w: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0842">
      <w:r>
        <w:separator/>
      </w:r>
    </w:p>
  </w:footnote>
  <w:footnote w:type="continuationSeparator" w:id="0">
    <w:p w:rsidR="00000000" w:rsidRDefault="00560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319" w:rsidRDefault="00912319">
    <w:pPr>
      <w:pStyle w:val="af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319"/>
    <w:rsid w:val="00560842"/>
    <w:rsid w:val="0091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D2CAFB-10E4-4BBC-ADF3-297135A6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Body Text Indent"/>
    <w:basedOn w:val="a"/>
    <w:link w:val="a4"/>
    <w:pPr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1"/>
    <w:link w:val="a3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ursive">
    <w:name w:val="coursive"/>
    <w:basedOn w:val="a"/>
    <w:link w:val="coursive0"/>
    <w:pPr>
      <w:spacing w:beforeAutospacing="1" w:afterAutospacing="1"/>
    </w:pPr>
  </w:style>
  <w:style w:type="character" w:customStyle="1" w:styleId="coursive0">
    <w:name w:val="coursive"/>
    <w:basedOn w:val="1"/>
    <w:link w:val="coursive"/>
    <w:rPr>
      <w:sz w:val="24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5">
    <w:name w:val="Стиль"/>
    <w:link w:val="a6"/>
  </w:style>
  <w:style w:type="character" w:customStyle="1" w:styleId="a6">
    <w:name w:val="Стиль"/>
    <w:link w:val="a5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12">
    <w:name w:val="Знак1 Знак Знак Знак"/>
    <w:basedOn w:val="a"/>
    <w:link w:val="13"/>
    <w:pPr>
      <w:spacing w:after="160" w:line="240" w:lineRule="exact"/>
    </w:pPr>
    <w:rPr>
      <w:rFonts w:ascii="Verdana" w:hAnsi="Verdana"/>
    </w:rPr>
  </w:style>
  <w:style w:type="character" w:customStyle="1" w:styleId="13">
    <w:name w:val="Знак1 Знак Знак Знак"/>
    <w:basedOn w:val="1"/>
    <w:link w:val="12"/>
    <w:rPr>
      <w:rFonts w:ascii="Verdana" w:hAnsi="Verdana"/>
      <w:sz w:val="24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14">
    <w:name w:val="Знак1 Знак Знак Знак"/>
    <w:basedOn w:val="a"/>
    <w:link w:val="15"/>
    <w:pPr>
      <w:spacing w:after="160" w:line="240" w:lineRule="exact"/>
    </w:pPr>
    <w:rPr>
      <w:rFonts w:ascii="Verdana" w:hAnsi="Verdana"/>
    </w:rPr>
  </w:style>
  <w:style w:type="character" w:customStyle="1" w:styleId="15">
    <w:name w:val="Знак1 Знак Знак Знак"/>
    <w:basedOn w:val="1"/>
    <w:link w:val="14"/>
    <w:rPr>
      <w:rFonts w:ascii="Verdana" w:hAnsi="Verdana"/>
      <w:sz w:val="24"/>
    </w:rPr>
  </w:style>
  <w:style w:type="paragraph" w:customStyle="1" w:styleId="16">
    <w:name w:val="Строгий1"/>
    <w:link w:val="17"/>
    <w:rPr>
      <w:b/>
    </w:rPr>
  </w:style>
  <w:style w:type="character" w:customStyle="1" w:styleId="17">
    <w:name w:val="Строгий1"/>
    <w:link w:val="16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foot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1"/>
    <w:link w:val="ab"/>
    <w:rPr>
      <w:sz w:val="24"/>
    </w:rPr>
  </w:style>
  <w:style w:type="paragraph" w:customStyle="1" w:styleId="ad">
    <w:name w:val="Знак"/>
    <w:basedOn w:val="a"/>
    <w:link w:val="ae"/>
    <w:pPr>
      <w:spacing w:after="160" w:line="240" w:lineRule="exact"/>
    </w:pPr>
    <w:rPr>
      <w:rFonts w:ascii="Verdana" w:hAnsi="Verdana"/>
    </w:rPr>
  </w:style>
  <w:style w:type="character" w:customStyle="1" w:styleId="ae">
    <w:name w:val="Знак"/>
    <w:basedOn w:val="1"/>
    <w:link w:val="ad"/>
    <w:rPr>
      <w:rFonts w:ascii="Verdana" w:hAnsi="Verdana"/>
      <w:sz w:val="24"/>
    </w:rPr>
  </w:style>
  <w:style w:type="paragraph" w:styleId="af">
    <w:name w:val="Body Text"/>
    <w:basedOn w:val="a"/>
    <w:link w:val="af0"/>
    <w:rPr>
      <w:sz w:val="44"/>
    </w:rPr>
  </w:style>
  <w:style w:type="character" w:customStyle="1" w:styleId="af0">
    <w:name w:val="Основной текст Знак"/>
    <w:basedOn w:val="1"/>
    <w:link w:val="af"/>
    <w:rPr>
      <w:sz w:val="44"/>
    </w:rPr>
  </w:style>
  <w:style w:type="paragraph" w:customStyle="1" w:styleId="af1">
    <w:name w:val="Знак Знак Знак"/>
    <w:basedOn w:val="a"/>
    <w:link w:val="af2"/>
    <w:pPr>
      <w:spacing w:after="160" w:line="240" w:lineRule="exact"/>
    </w:pPr>
    <w:rPr>
      <w:rFonts w:ascii="Verdana" w:hAnsi="Verdana"/>
    </w:rPr>
  </w:style>
  <w:style w:type="character" w:customStyle="1" w:styleId="af2">
    <w:name w:val="Знак Знак Знак"/>
    <w:basedOn w:val="1"/>
    <w:link w:val="af1"/>
    <w:rPr>
      <w:rFonts w:ascii="Verdana" w:hAnsi="Verdana"/>
      <w:sz w:val="24"/>
    </w:rPr>
  </w:style>
  <w:style w:type="paragraph" w:customStyle="1" w:styleId="110">
    <w:name w:val="Знак1 Знак Знак Знак Знак Знак1 Знак Знак Знак Знак Знак Знак Знак Знак Знак Знак Знак Знак Знак Знак Знак Знак Знак Знак Знак"/>
    <w:basedOn w:val="a"/>
    <w:link w:val="111"/>
    <w:pPr>
      <w:spacing w:after="160" w:line="240" w:lineRule="exact"/>
    </w:pPr>
    <w:rPr>
      <w:rFonts w:ascii="Verdana" w:hAnsi="Verdana"/>
    </w:rPr>
  </w:style>
  <w:style w:type="character" w:customStyle="1" w:styleId="111">
    <w:name w:val="Знак1 Знак Знак Знак Знак Знак1 Знак Знак Знак Знак Знак Знак Знак Знак Знак Знак Знак Знак Знак Знак Знак Знак Знак Знак Знак"/>
    <w:basedOn w:val="1"/>
    <w:link w:val="110"/>
    <w:rPr>
      <w:rFonts w:ascii="Verdana" w:hAnsi="Verdana"/>
      <w:sz w:val="24"/>
    </w:rPr>
  </w:style>
  <w:style w:type="paragraph" w:customStyle="1" w:styleId="210">
    <w:name w:val="Основной текст 21"/>
    <w:basedOn w:val="18"/>
    <w:link w:val="211"/>
  </w:style>
  <w:style w:type="character" w:customStyle="1" w:styleId="211">
    <w:name w:val="Основной текст 21"/>
    <w:basedOn w:val="19"/>
    <w:link w:val="210"/>
    <w:rPr>
      <w:sz w:val="24"/>
    </w:rPr>
  </w:style>
  <w:style w:type="paragraph" w:customStyle="1" w:styleId="af3">
    <w:basedOn w:val="a"/>
    <w:link w:val="af4"/>
    <w:semiHidden/>
    <w:unhideWhenUsed/>
    <w:pPr>
      <w:spacing w:after="160" w:line="240" w:lineRule="exact"/>
    </w:pPr>
    <w:rPr>
      <w:rFonts w:ascii="Verdana" w:hAnsi="Verdana"/>
    </w:rPr>
  </w:style>
  <w:style w:type="character" w:customStyle="1" w:styleId="af4">
    <w:basedOn w:val="1"/>
    <w:link w:val="af3"/>
    <w:semiHidden/>
    <w:unhideWhenUsed/>
    <w:rPr>
      <w:rFonts w:ascii="Verdana" w:hAnsi="Verdana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a">
    <w:name w:val="Знак Знак Знак Знак Знак Знак1 Знак Знак Знак Знак Знак Знак Знак Знак Знак Знак"/>
    <w:basedOn w:val="a"/>
    <w:link w:val="1b"/>
    <w:pPr>
      <w:spacing w:after="160" w:line="240" w:lineRule="exact"/>
    </w:pPr>
    <w:rPr>
      <w:rFonts w:ascii="Verdana" w:hAnsi="Verdana"/>
    </w:rPr>
  </w:style>
  <w:style w:type="character" w:customStyle="1" w:styleId="1b">
    <w:name w:val="Знак Знак Знак Знак Знак Знак1 Знак Знак Знак Знак Знак Знак Знак Знак Знак Знак"/>
    <w:basedOn w:val="1"/>
    <w:link w:val="1a"/>
    <w:rPr>
      <w:rFonts w:ascii="Verdana" w:hAnsi="Verdana"/>
      <w:sz w:val="24"/>
    </w:rPr>
  </w:style>
  <w:style w:type="paragraph" w:styleId="af5">
    <w:name w:val="header"/>
    <w:basedOn w:val="a"/>
    <w:link w:val="af6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1"/>
    <w:link w:val="af5"/>
    <w:rPr>
      <w:sz w:val="24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sz w:val="24"/>
    </w:rPr>
  </w:style>
  <w:style w:type="paragraph" w:customStyle="1" w:styleId="1e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link w:val="1f"/>
    <w:pPr>
      <w:spacing w:after="160" w:line="240" w:lineRule="exact"/>
    </w:pPr>
    <w:rPr>
      <w:rFonts w:ascii="Verdana" w:hAnsi="Verdana"/>
    </w:rPr>
  </w:style>
  <w:style w:type="character" w:customStyle="1" w:styleId="1f">
    <w:name w:val="Знак Знак Знак Знак Знак Знак1 Знак Знак Знак Знак Знак Знак Знак Знак Знак Знак Знак Знак Знак Знак Знак Знак Знак Знак Знак"/>
    <w:basedOn w:val="1"/>
    <w:link w:val="1e"/>
    <w:rPr>
      <w:rFonts w:ascii="Verdana" w:hAnsi="Verdana"/>
      <w:sz w:val="24"/>
    </w:rPr>
  </w:style>
  <w:style w:type="paragraph" w:customStyle="1" w:styleId="1f0">
    <w:name w:val="Гиперссылка1"/>
    <w:link w:val="af9"/>
    <w:rPr>
      <w:color w:val="0000FF"/>
      <w:u w:val="single"/>
    </w:rPr>
  </w:style>
  <w:style w:type="character" w:styleId="af9">
    <w:name w:val="Hyperlink"/>
    <w:link w:val="1f0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afa">
    <w:name w:val="Plain Text"/>
    <w:basedOn w:val="a"/>
    <w:link w:val="afb"/>
    <w:rPr>
      <w:rFonts w:ascii="Courier New" w:hAnsi="Courier New"/>
      <w:sz w:val="20"/>
    </w:rPr>
  </w:style>
  <w:style w:type="character" w:customStyle="1" w:styleId="afb">
    <w:name w:val="Текст Знак"/>
    <w:basedOn w:val="1"/>
    <w:link w:val="afa"/>
    <w:rPr>
      <w:rFonts w:ascii="Courier New" w:hAnsi="Courier New"/>
      <w:sz w:val="20"/>
    </w:rPr>
  </w:style>
  <w:style w:type="paragraph" w:customStyle="1" w:styleId="1f3">
    <w:name w:val="Знак1 Знак Знак"/>
    <w:basedOn w:val="a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1 Знак Знак"/>
    <w:basedOn w:val="1"/>
    <w:link w:val="1f3"/>
    <w:rPr>
      <w:rFonts w:ascii="Verdana" w:hAnsi="Verdana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f5">
    <w:name w:val="Гиперссылка1"/>
    <w:link w:val="1f6"/>
    <w:rPr>
      <w:color w:val="0000FF"/>
      <w:u w:val="single"/>
    </w:rPr>
  </w:style>
  <w:style w:type="character" w:customStyle="1" w:styleId="1f6">
    <w:name w:val="Гиперссылка1"/>
    <w:link w:val="1f5"/>
    <w:rPr>
      <w:color w:val="0000FF"/>
      <w:u w:val="single"/>
    </w:rPr>
  </w:style>
  <w:style w:type="paragraph" w:customStyle="1" w:styleId="25">
    <w:name w:val="Основной шрифт абзаца2"/>
    <w:link w:val="18"/>
  </w:style>
  <w:style w:type="paragraph" w:customStyle="1" w:styleId="18">
    <w:name w:val="Обычный1"/>
    <w:link w:val="19"/>
    <w:rPr>
      <w:sz w:val="24"/>
    </w:rPr>
  </w:style>
  <w:style w:type="character" w:customStyle="1" w:styleId="19">
    <w:name w:val="Обычный1"/>
    <w:link w:val="18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customStyle="1" w:styleId="1f7">
    <w:name w:val="Номер страницы1"/>
    <w:basedOn w:val="1a"/>
    <w:link w:val="1f8"/>
  </w:style>
  <w:style w:type="character" w:customStyle="1" w:styleId="1f8">
    <w:name w:val="Номер страницы1"/>
    <w:basedOn w:val="1b"/>
    <w:link w:val="1f7"/>
    <w:rPr>
      <w:rFonts w:ascii="Verdana" w:hAnsi="Verdana"/>
      <w:sz w:val="24"/>
    </w:rPr>
  </w:style>
  <w:style w:type="paragraph" w:styleId="26">
    <w:name w:val="Body Text 2"/>
    <w:basedOn w:val="a"/>
    <w:link w:val="27"/>
    <w:pPr>
      <w:spacing w:line="360" w:lineRule="auto"/>
      <w:ind w:left="360"/>
      <w:jc w:val="both"/>
    </w:pPr>
    <w:rPr>
      <w:rFonts w:ascii="Arial" w:hAnsi="Arial"/>
    </w:rPr>
  </w:style>
  <w:style w:type="character" w:customStyle="1" w:styleId="27">
    <w:name w:val="Основной текст 2 Знак"/>
    <w:basedOn w:val="1"/>
    <w:link w:val="26"/>
    <w:rPr>
      <w:rFonts w:ascii="Arial" w:hAnsi="Arial"/>
      <w:sz w:val="24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Заголовок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table" w:styleId="af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Горбулина Марина Борисовна</dc:creator>
  <cp:lastModifiedBy>Горбулина Марина Борисовна</cp:lastModifiedBy>
  <cp:revision>2</cp:revision>
  <dcterms:created xsi:type="dcterms:W3CDTF">2026-09-04T09:22:00Z</dcterms:created>
  <dcterms:modified xsi:type="dcterms:W3CDTF">2026-09-04T09:22:00Z</dcterms:modified>
</cp:coreProperties>
</file>